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9BDC" w14:textId="77777777" w:rsidR="00174DD1" w:rsidRPr="00425DEE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</w:pPr>
      <w:r w:rsidRPr="00425DEE"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  <w:t>1 Globalisering og byutvikling</w:t>
      </w:r>
    </w:p>
    <w:p w14:paraId="62AEAA5B" w14:textId="77777777" w:rsidR="00425DEE" w:rsidRPr="00996046" w:rsidRDefault="00425DEE" w:rsidP="00425DEE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425DEE">
        <w:rPr>
          <w:rFonts w:ascii="Garamond" w:hAnsi="Garamond"/>
          <w:sz w:val="24"/>
          <w:szCs w:val="24"/>
          <w:lang w:val="nb-NO"/>
        </w:rPr>
        <w:t xml:space="preserve">Acuto, M., Pejic, D., &amp; Briggs, J. (2021). </w:t>
      </w:r>
      <w:r w:rsidRPr="00425DEE">
        <w:rPr>
          <w:rFonts w:ascii="Garamond" w:hAnsi="Garamond"/>
          <w:sz w:val="24"/>
          <w:szCs w:val="24"/>
          <w:lang w:val="en-US"/>
        </w:rPr>
        <w:t>Taking city rankings seriously: engaging with benchmarking practices in global urbanism. </w:t>
      </w:r>
      <w:r w:rsidRPr="00425DEE">
        <w:rPr>
          <w:rFonts w:ascii="Garamond" w:hAnsi="Garamond"/>
          <w:i/>
          <w:iCs/>
          <w:sz w:val="24"/>
          <w:szCs w:val="24"/>
          <w:lang w:val="en-US"/>
        </w:rPr>
        <w:t>International Journal of Urban and Regional Research</w:t>
      </w:r>
      <w:r w:rsidRPr="00425DEE">
        <w:rPr>
          <w:rFonts w:ascii="Garamond" w:hAnsi="Garamond"/>
          <w:sz w:val="24"/>
          <w:szCs w:val="24"/>
          <w:lang w:val="en-US"/>
        </w:rPr>
        <w:t>, 45(2), 363-377.</w:t>
      </w:r>
    </w:p>
    <w:p w14:paraId="75811D76" w14:textId="0D171010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Brenner,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N.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C. Schmid (2014), The ‘urban age’ in question,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International Journal of Urban and Regional Research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38 (3): 731-755. 24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75543033" w14:textId="48CFDBF3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Dear, M. (2005), Comparative urbanism,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Urban Geography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26 (3): 247-251. 5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39CA09F1" w14:textId="6935E493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Gentile, M. (2018), Three metals and the “post-socialist city”: reclaiming the peripheries of urban knowledge,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International Journal of Urban and Regional Research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42(6): 1140-1151.</w:t>
      </w:r>
    </w:p>
    <w:p w14:paraId="16EC2E4E" w14:textId="77777777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*Hill, R.C. and Kim, J.W. (2006) Global Cities and developmental States: New York,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Tokyo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Seoul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Brenner, N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Keil, R. (red.)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The Global Cities Reader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Routledge, New York, s. 170-178. 9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7DB9324F" w14:textId="538EB970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Lesthaeghe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R. (2014), The second demographic transition: A concise overview of its development,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Proceedings of the National Academy of Sciences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11 (51): 18112-18115. 4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44CC07F2" w14:textId="256CD5F4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Robinson, J. (2011), Cities in a world of cities: The comparative gesture,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International Journal of Urban and Regional Research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35 (1): 1-23. 23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6259A382" w14:textId="5B58CA6E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Roy, A. (2009), The 21</w:t>
      </w:r>
      <w:r w:rsidRPr="00996046">
        <w:rPr>
          <w:rFonts w:ascii="Garamond" w:eastAsia="Times New Roman" w:hAnsi="Garamond" w:cs="Arial"/>
          <w:sz w:val="24"/>
          <w:szCs w:val="24"/>
          <w:bdr w:val="none" w:sz="0" w:space="0" w:color="auto" w:frame="1"/>
          <w:vertAlign w:val="superscript"/>
          <w:lang w:val="en-GB" w:eastAsia="sv-SE"/>
        </w:rPr>
        <w:t>st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 century metropolis: New geographies of theory,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Regional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43 (6): 819-830. 11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23E28ED7" w14:textId="785AC12A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Sassen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S. (2001):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The Global City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 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kap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1 Overview. Princeton University Press, New York, s. 3-15. 13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458E9510" w14:textId="4CB154FA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Scott,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A.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M.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Storper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(2015), The nature of cities; The scope and limits of urban theory,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International Journal of Urban and Regional Research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39 (1): 1-15. 15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09F9612E" w14:textId="4CB5BB70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Smith, M.P. (2006,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opprinnelig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2011):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“ The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Global Cities Discourse. A return to the Master Narrative"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Brenner, N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Keil, R. (red.)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The Global Cities Reader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Routledge, New York, s. 377-383. 7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46E34BE0" w14:textId="56F53915" w:rsidR="00E57DAD" w:rsidRPr="00996046" w:rsidRDefault="00E57DAD" w:rsidP="00996046">
      <w:pPr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  <w:lang w:val="en-GB"/>
        </w:rPr>
      </w:pPr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Taylor, P. &amp; B. </w:t>
      </w:r>
      <w:proofErr w:type="spellStart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Derudder</w:t>
      </w:r>
      <w:proofErr w:type="spellEnd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(2018). “Exploring the world city network,” in eds. J. Harrison and M. </w:t>
      </w:r>
      <w:proofErr w:type="spellStart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Hoyler</w:t>
      </w:r>
      <w:proofErr w:type="spellEnd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, Doing Global Urban Research (Los Angeles: SAGE), 34-51.</w:t>
      </w:r>
    </w:p>
    <w:p w14:paraId="47D77099" w14:textId="3BFDAC6C" w:rsidR="00FB6AA9" w:rsidRDefault="00FB6AA9" w:rsidP="00996046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996046">
        <w:rPr>
          <w:rFonts w:ascii="Garamond" w:hAnsi="Garamond"/>
          <w:sz w:val="24"/>
          <w:szCs w:val="24"/>
          <w:lang w:val="en-US"/>
        </w:rPr>
        <w:t xml:space="preserve">Ward, K. (2010), Towards a relational comparative approach to the study of cities, </w:t>
      </w:r>
      <w:r w:rsidRPr="00996046">
        <w:rPr>
          <w:rFonts w:ascii="Garamond" w:hAnsi="Garamond"/>
          <w:i/>
          <w:sz w:val="24"/>
          <w:szCs w:val="24"/>
          <w:lang w:val="en-US"/>
        </w:rPr>
        <w:t>Progress in Human Geography</w:t>
      </w:r>
      <w:r w:rsidRPr="00996046">
        <w:rPr>
          <w:rFonts w:ascii="Garamond" w:hAnsi="Garamond"/>
          <w:sz w:val="24"/>
          <w:szCs w:val="24"/>
          <w:lang w:val="en-US"/>
        </w:rPr>
        <w:t xml:space="preserve"> 34 (4): 471-487.</w:t>
      </w:r>
    </w:p>
    <w:p w14:paraId="72E4998B" w14:textId="77777777" w:rsidR="00E57DAD" w:rsidRPr="00996046" w:rsidRDefault="00E57DAD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</w:p>
    <w:p w14:paraId="673A8EE8" w14:textId="77777777" w:rsidR="00996046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3F11D76F" w14:textId="5274D5CA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2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Boligmarked</w:t>
      </w:r>
      <w:proofErr w:type="spellEnd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flytting</w:t>
      </w:r>
      <w:proofErr w:type="spellEnd"/>
    </w:p>
    <w:p w14:paraId="2A82A03B" w14:textId="45C803D2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Clark,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W.A.V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Deurloo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M.S.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Dieleman, F.M. (2006): “Residential Mobility and Neighbourhood Outcomes” i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Housing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21, s. 323–342. 20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7049C847" w14:textId="25476B14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Mazanti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B. (2007): “Choosing residence, community and neighbours”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 </w:t>
      </w:r>
      <w:proofErr w:type="spellStart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Geografiska</w:t>
      </w:r>
      <w:proofErr w:type="spellEnd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Annaler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Series B. 89, s. 53-68. 16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6A9D8C3E" w14:textId="1B4935F2" w:rsidR="00D04456" w:rsidRPr="00996046" w:rsidRDefault="00D04456" w:rsidP="00996046">
      <w:pPr>
        <w:shd w:val="clear" w:color="auto" w:fill="FFFFFF"/>
        <w:spacing w:after="0" w:line="240" w:lineRule="auto"/>
        <w:textAlignment w:val="baseline"/>
        <w:rPr>
          <w:rFonts w:ascii="Garamond" w:hAnsi="Garamond" w:cs="Calibri"/>
          <w:sz w:val="24"/>
          <w:szCs w:val="24"/>
          <w:lang w:val="en-GB"/>
        </w:rPr>
      </w:pPr>
      <w:r w:rsidRPr="00996046">
        <w:rPr>
          <w:rFonts w:ascii="Garamond" w:hAnsi="Garamond" w:cs="Calibri"/>
          <w:sz w:val="24"/>
          <w:szCs w:val="24"/>
          <w:lang w:val="en-GB"/>
        </w:rPr>
        <w:t>Coulter, R., &amp; Van Ham, M. (2013). Following people through time: An analysis of individual residential mobility biographies. Housing Studies, 28(7), 1037-1055.</w:t>
      </w:r>
    </w:p>
    <w:p w14:paraId="0529185C" w14:textId="62A73684" w:rsidR="00D04456" w:rsidRPr="00996046" w:rsidRDefault="00D04456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hAnsi="Garamond" w:cs="Calibri"/>
          <w:sz w:val="24"/>
          <w:szCs w:val="24"/>
          <w:lang w:val="en-GB"/>
        </w:rPr>
        <w:t>Galster</w:t>
      </w:r>
      <w:proofErr w:type="spellEnd"/>
      <w:r w:rsidRPr="00996046">
        <w:rPr>
          <w:rFonts w:ascii="Garamond" w:hAnsi="Garamond" w:cs="Calibri"/>
          <w:sz w:val="24"/>
          <w:szCs w:val="24"/>
          <w:lang w:val="en-GB"/>
        </w:rPr>
        <w:t>, G., &amp; Turner, L. M. (2017). Status discrepancy as a driver of residential mobility: Evidence from Oslo. </w:t>
      </w:r>
      <w:r w:rsidRPr="00996046">
        <w:rPr>
          <w:rFonts w:ascii="Garamond" w:hAnsi="Garamond" w:cs="Calibri"/>
          <w:i/>
          <w:iCs/>
          <w:sz w:val="24"/>
          <w:szCs w:val="24"/>
          <w:lang w:val="en-GB"/>
        </w:rPr>
        <w:t>Environment and Planning A</w:t>
      </w:r>
      <w:r w:rsidRPr="00996046">
        <w:rPr>
          <w:rFonts w:ascii="Garamond" w:hAnsi="Garamond" w:cs="Calibri"/>
          <w:sz w:val="24"/>
          <w:szCs w:val="24"/>
          <w:lang w:val="en-GB"/>
        </w:rPr>
        <w:t>, </w:t>
      </w:r>
      <w:r w:rsidRPr="00996046">
        <w:rPr>
          <w:rFonts w:ascii="Garamond" w:hAnsi="Garamond" w:cs="Calibri"/>
          <w:i/>
          <w:iCs/>
          <w:sz w:val="24"/>
          <w:szCs w:val="24"/>
          <w:lang w:val="en-GB"/>
        </w:rPr>
        <w:t>49</w:t>
      </w:r>
      <w:r w:rsidRPr="00996046">
        <w:rPr>
          <w:rFonts w:ascii="Garamond" w:hAnsi="Garamond" w:cs="Calibri"/>
          <w:sz w:val="24"/>
          <w:szCs w:val="24"/>
          <w:lang w:val="en-GB"/>
        </w:rPr>
        <w:t>(9), 2155-2175.</w:t>
      </w:r>
    </w:p>
    <w:p w14:paraId="4F82E81B" w14:textId="43E3493C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Van Ham, M. (2012) "Housing behaviour" i Clapham, D.F., Clark,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W.A.V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Gibb, K. (red.) The Sage Handbook of Housing Studies, London, Sage Publications, s. 47-65. 20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0BA5CDF3" w14:textId="77777777" w:rsidR="00996046" w:rsidRPr="00425DEE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698FF347" w14:textId="77777777" w:rsidR="00996046" w:rsidRPr="00425DEE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6C0F2960" w14:textId="693D23B6" w:rsidR="00174DD1" w:rsidRPr="00903E79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</w:pPr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 xml:space="preserve">3 </w:t>
      </w:r>
      <w:proofErr w:type="spellStart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>Sosio-økonomisk</w:t>
      </w:r>
      <w:proofErr w:type="spellEnd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 xml:space="preserve"> </w:t>
      </w:r>
      <w:proofErr w:type="spellStart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>ulikhet</w:t>
      </w:r>
      <w:proofErr w:type="spellEnd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 xml:space="preserve"> </w:t>
      </w:r>
      <w:proofErr w:type="spellStart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>og</w:t>
      </w:r>
      <w:proofErr w:type="spellEnd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 xml:space="preserve"> </w:t>
      </w:r>
      <w:proofErr w:type="spellStart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>sosio-økonomisk</w:t>
      </w:r>
      <w:proofErr w:type="spellEnd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 xml:space="preserve"> </w:t>
      </w:r>
      <w:proofErr w:type="spellStart"/>
      <w:r w:rsidRPr="00903E79">
        <w:rPr>
          <w:rFonts w:ascii="Garamond" w:eastAsia="Times New Roman" w:hAnsi="Garamond" w:cs="Arial"/>
          <w:b/>
          <w:bCs/>
          <w:sz w:val="24"/>
          <w:szCs w:val="24"/>
          <w:lang w:val="en-US" w:eastAsia="sv-SE"/>
        </w:rPr>
        <w:t>segregasjon</w:t>
      </w:r>
      <w:proofErr w:type="spellEnd"/>
    </w:p>
    <w:p w14:paraId="1CB3325A" w14:textId="017D5021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Gentile, M. (2015), The post-Soviet urban poor and where they live: Khrushchev-era blocks, "bad" areas, and the vertical dimension in Luhansk, Ukraine,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Annals of the Association of American Geographers 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105 (3): 583-603. </w:t>
      </w:r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>20 sidor.</w:t>
      </w:r>
    </w:p>
    <w:p w14:paraId="219F5E85" w14:textId="3F77A07C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>Hamnett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 xml:space="preserve">, C. (2011): "Urban Social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>Polarization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 xml:space="preserve">" i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>Derudder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 xml:space="preserve">, B. et. al. 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(red.)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International Handbook of Globalization and World Cities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s. 361-368. 7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79F9D427" w14:textId="6B548C1D" w:rsidR="00174DD1" w:rsidRPr="00903E79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US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lastRenderedPageBreak/>
        <w:t>Sassen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S. (2006):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Cities in a World Economy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</w:t>
      </w:r>
      <w:r w:rsidRPr="00903E79">
        <w:rPr>
          <w:rFonts w:ascii="Garamond" w:eastAsia="Times New Roman" w:hAnsi="Garamond" w:cs="Arial"/>
          <w:sz w:val="24"/>
          <w:szCs w:val="24"/>
          <w:lang w:val="en-US" w:eastAsia="sv-SE"/>
        </w:rPr>
        <w:t xml:space="preserve">Thousand Oaks, Calif.: Pine Forge Press, </w:t>
      </w:r>
      <w:proofErr w:type="spellStart"/>
      <w:r w:rsidRPr="00903E79">
        <w:rPr>
          <w:rFonts w:ascii="Garamond" w:eastAsia="Times New Roman" w:hAnsi="Garamond" w:cs="Arial"/>
          <w:sz w:val="24"/>
          <w:szCs w:val="24"/>
          <w:lang w:val="en-US" w:eastAsia="sv-SE"/>
        </w:rPr>
        <w:t>kapittel</w:t>
      </w:r>
      <w:proofErr w:type="spellEnd"/>
      <w:r w:rsidRPr="00903E79">
        <w:rPr>
          <w:rFonts w:ascii="Garamond" w:eastAsia="Times New Roman" w:hAnsi="Garamond" w:cs="Arial"/>
          <w:sz w:val="24"/>
          <w:szCs w:val="24"/>
          <w:lang w:val="en-US" w:eastAsia="sv-SE"/>
        </w:rPr>
        <w:t xml:space="preserve"> 6 (s.151-175</w:t>
      </w:r>
      <w:proofErr w:type="gramStart"/>
      <w:r w:rsidRPr="00903E79">
        <w:rPr>
          <w:rFonts w:ascii="Garamond" w:eastAsia="Times New Roman" w:hAnsi="Garamond" w:cs="Arial"/>
          <w:sz w:val="24"/>
          <w:szCs w:val="24"/>
          <w:lang w:val="en-US" w:eastAsia="sv-SE"/>
        </w:rPr>
        <w:t>),</w:t>
      </w:r>
      <w:proofErr w:type="spellStart"/>
      <w:r w:rsidRPr="00903E79">
        <w:rPr>
          <w:rFonts w:ascii="Garamond" w:eastAsia="Times New Roman" w:hAnsi="Garamond" w:cs="Arial"/>
          <w:sz w:val="24"/>
          <w:szCs w:val="24"/>
          <w:lang w:val="en-US" w:eastAsia="sv-SE"/>
        </w:rPr>
        <w:t>kap</w:t>
      </w:r>
      <w:proofErr w:type="spellEnd"/>
      <w:proofErr w:type="gramEnd"/>
      <w:r w:rsidRPr="00903E79">
        <w:rPr>
          <w:rFonts w:ascii="Garamond" w:eastAsia="Times New Roman" w:hAnsi="Garamond" w:cs="Arial"/>
          <w:sz w:val="24"/>
          <w:szCs w:val="24"/>
          <w:lang w:val="en-US" w:eastAsia="sv-SE"/>
        </w:rPr>
        <w:t xml:space="preserve">. 8 (s.193-199). 30 </w:t>
      </w:r>
      <w:proofErr w:type="gramStart"/>
      <w:r w:rsidRPr="00903E79">
        <w:rPr>
          <w:rFonts w:ascii="Garamond" w:eastAsia="Times New Roman" w:hAnsi="Garamond" w:cs="Arial"/>
          <w:sz w:val="24"/>
          <w:szCs w:val="24"/>
          <w:lang w:val="en-US" w:eastAsia="sv-SE"/>
        </w:rPr>
        <w:t>sider</w:t>
      </w:r>
      <w:proofErr w:type="gramEnd"/>
      <w:r w:rsidRPr="00903E79">
        <w:rPr>
          <w:rFonts w:ascii="Garamond" w:eastAsia="Times New Roman" w:hAnsi="Garamond" w:cs="Arial"/>
          <w:sz w:val="24"/>
          <w:szCs w:val="24"/>
          <w:lang w:val="en-US" w:eastAsia="sv-SE"/>
        </w:rPr>
        <w:t>.</w:t>
      </w:r>
    </w:p>
    <w:p w14:paraId="7D36DA64" w14:textId="1B93641D" w:rsidR="00974309" w:rsidRDefault="00996046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Wessel, T. 2022: Business Services, Income Inequality, and Income Segregation in Metropolitan Areas: Direct and Indirect Links, 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lang w:val="en-GB" w:eastAsia="sv-SE"/>
        </w:rPr>
        <w:t>Economic Geography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(98), published online.</w:t>
      </w:r>
    </w:p>
    <w:p w14:paraId="00747F43" w14:textId="1042CED6" w:rsidR="00996046" w:rsidRDefault="00996046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</w:p>
    <w:p w14:paraId="6E05A2A2" w14:textId="77777777" w:rsidR="00996046" w:rsidRPr="00996046" w:rsidRDefault="00996046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</w:p>
    <w:p w14:paraId="2CA84BE5" w14:textId="77777777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i/>
          <w:iCs/>
          <w:sz w:val="24"/>
          <w:szCs w:val="24"/>
          <w:lang w:eastAsia="sv-SE"/>
        </w:rPr>
      </w:pPr>
      <w:r w:rsidRPr="00996046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FÖRDJUPNINGSLÄSNING OM SOCIOEKONOMISK SEGREGATION (frivilligt):</w:t>
      </w:r>
    </w:p>
    <w:p w14:paraId="4F746097" w14:textId="77777777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Park,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R.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E. Burgess (1925),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 xml:space="preserve">The City –Suggestions for Investigation of Human </w:t>
      </w:r>
      <w:proofErr w:type="spellStart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Behavior</w:t>
      </w:r>
      <w:proofErr w:type="spellEnd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 xml:space="preserve"> in the Urban Environment 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(Chicago: University of Chicago Press),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kapitel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1-9.</w:t>
      </w:r>
    </w:p>
    <w:p w14:paraId="3EAA56E0" w14:textId="5C1427FF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Harris,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C.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E. Ullman (1945), The nature of cities,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The Annals of the American Academy of Political and Social Science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 242 (Nov. 1945), 7-17.</w:t>
      </w:r>
    </w:p>
    <w:p w14:paraId="49FCB819" w14:textId="77777777" w:rsidR="00996046" w:rsidRPr="00996046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27D396EF" w14:textId="11F39DE3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4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Etnisk</w:t>
      </w:r>
      <w:proofErr w:type="spellEnd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segregasjon</w:t>
      </w:r>
      <w:proofErr w:type="spellEnd"/>
    </w:p>
    <w:p w14:paraId="7B521434" w14:textId="3BA3ED2D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Alba, R.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Nee, V. (2005):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Remaking the American Mainstream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s. 1-16 (“Introduct</w:t>
      </w:r>
      <w:r w:rsidR="003A68E5"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i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on”). Cambridge, US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London, England: Harvard University Press. 16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6C183FE7" w14:textId="62548264" w:rsidR="00974309" w:rsidRPr="00996046" w:rsidRDefault="00974309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hAnsi="Garamond" w:cs="Calibri"/>
          <w:sz w:val="24"/>
          <w:szCs w:val="24"/>
          <w:shd w:val="clear" w:color="auto" w:fill="FFFFFF"/>
          <w:lang w:val="en-GB"/>
        </w:rPr>
        <w:t xml:space="preserve">Alba, R. </w:t>
      </w:r>
      <w:proofErr w:type="spellStart"/>
      <w:r w:rsidRPr="00996046">
        <w:rPr>
          <w:rFonts w:ascii="Garamond" w:hAnsi="Garamond" w:cs="Calibri"/>
          <w:sz w:val="24"/>
          <w:szCs w:val="24"/>
          <w:shd w:val="clear" w:color="auto" w:fill="FFFFFF"/>
          <w:lang w:val="en-GB"/>
        </w:rPr>
        <w:t>og</w:t>
      </w:r>
      <w:proofErr w:type="spellEnd"/>
      <w:r w:rsidRPr="00996046">
        <w:rPr>
          <w:rFonts w:ascii="Garamond" w:hAnsi="Garamond" w:cs="Calibri"/>
          <w:sz w:val="24"/>
          <w:szCs w:val="24"/>
          <w:shd w:val="clear" w:color="auto" w:fill="FFFFFF"/>
          <w:lang w:val="en-GB"/>
        </w:rPr>
        <w:t xml:space="preserve"> Foner, N. (2014): Comparing immigrant integration in North America and Western Europe: How much do the grand narratives tell us? </w:t>
      </w:r>
      <w:r w:rsidRPr="00996046">
        <w:rPr>
          <w:rFonts w:ascii="Garamond" w:hAnsi="Garamond" w:cs="Calibri"/>
          <w:i/>
          <w:iCs/>
          <w:sz w:val="24"/>
          <w:szCs w:val="24"/>
          <w:shd w:val="clear" w:color="auto" w:fill="FFFFFF"/>
          <w:lang w:val="en-GB"/>
        </w:rPr>
        <w:t>International Migration Review</w:t>
      </w:r>
      <w:r w:rsidRPr="00996046">
        <w:rPr>
          <w:rFonts w:ascii="Garamond" w:hAnsi="Garamond" w:cs="Calibri"/>
          <w:sz w:val="24"/>
          <w:szCs w:val="24"/>
          <w:shd w:val="clear" w:color="auto" w:fill="FFFFFF"/>
          <w:lang w:val="en-GB"/>
        </w:rPr>
        <w:t xml:space="preserve"> 48(Fall), 263-291.</w:t>
      </w:r>
    </w:p>
    <w:p w14:paraId="16DE16BD" w14:textId="7F2F7E7B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nb-NO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Magnusson Turner, L. and Wessel, T. (2013): “Upwards, outwards and westwards: relocation of ethnic minorities in the Oslo region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”.</w:t>
      </w:r>
      <w:proofErr w:type="spellStart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Geografiska</w:t>
      </w:r>
      <w:proofErr w:type="spellEnd"/>
      <w:proofErr w:type="gramEnd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Annaler</w:t>
      </w:r>
      <w:proofErr w:type="spellEnd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 xml:space="preserve"> Series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B 95: 1-16. </w:t>
      </w:r>
      <w:r w:rsidRPr="00996046">
        <w:rPr>
          <w:rFonts w:ascii="Garamond" w:eastAsia="Times New Roman" w:hAnsi="Garamond" w:cs="Arial"/>
          <w:sz w:val="24"/>
          <w:szCs w:val="24"/>
          <w:lang w:val="nb-NO" w:eastAsia="sv-SE"/>
        </w:rPr>
        <w:t>16 sider.</w:t>
      </w:r>
    </w:p>
    <w:p w14:paraId="611B1046" w14:textId="77777777" w:rsidR="004E4105" w:rsidRPr="00996046" w:rsidRDefault="004E4105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hAnsi="Garamond" w:cs="Calibri"/>
          <w:sz w:val="24"/>
          <w:szCs w:val="24"/>
          <w:shd w:val="clear" w:color="auto" w:fill="FFFFFF"/>
          <w:lang w:val="nb-NO"/>
        </w:rPr>
        <w:t xml:space="preserve">Wessel, T (2017) Det todelte Oslo - etniske minoriteter i øst og vest. </w:t>
      </w:r>
      <w:r w:rsidRPr="00996046">
        <w:rPr>
          <w:rFonts w:ascii="Garamond" w:hAnsi="Garamond" w:cs="Calibri"/>
          <w:sz w:val="24"/>
          <w:szCs w:val="24"/>
          <w:shd w:val="clear" w:color="auto" w:fill="FFFFFF"/>
          <w:lang w:val="en-GB"/>
        </w:rPr>
        <w:t xml:space="preserve">I Ljunggren, J. (red.) </w:t>
      </w:r>
      <w:r w:rsidRPr="00996046">
        <w:rPr>
          <w:rFonts w:ascii="Garamond" w:hAnsi="Garamond" w:cs="Calibri"/>
          <w:i/>
          <w:sz w:val="24"/>
          <w:szCs w:val="24"/>
          <w:shd w:val="clear" w:color="auto" w:fill="FFFFFF"/>
          <w:lang w:val="en-GB"/>
        </w:rPr>
        <w:t xml:space="preserve">Oslo - </w:t>
      </w:r>
      <w:proofErr w:type="spellStart"/>
      <w:r w:rsidRPr="00996046">
        <w:rPr>
          <w:rFonts w:ascii="Garamond" w:hAnsi="Garamond" w:cs="Calibri"/>
          <w:i/>
          <w:sz w:val="24"/>
          <w:szCs w:val="24"/>
          <w:shd w:val="clear" w:color="auto" w:fill="FFFFFF"/>
          <w:lang w:val="en-GB"/>
        </w:rPr>
        <w:t>ulikhetenes</w:t>
      </w:r>
      <w:proofErr w:type="spellEnd"/>
      <w:r w:rsidRPr="00996046">
        <w:rPr>
          <w:rFonts w:ascii="Garamond" w:hAnsi="Garamond" w:cs="Calibri"/>
          <w:i/>
          <w:sz w:val="24"/>
          <w:szCs w:val="24"/>
          <w:shd w:val="clear" w:color="auto" w:fill="FFFFFF"/>
          <w:lang w:val="en-GB"/>
        </w:rPr>
        <w:t xml:space="preserve"> by</w:t>
      </w:r>
      <w:r w:rsidRPr="00996046">
        <w:rPr>
          <w:rFonts w:ascii="Garamond" w:hAnsi="Garamond" w:cs="Calibri"/>
          <w:sz w:val="24"/>
          <w:szCs w:val="24"/>
          <w:shd w:val="clear" w:color="auto" w:fill="FFFFFF"/>
          <w:lang w:val="en-GB"/>
        </w:rPr>
        <w:t>, 81-104. </w:t>
      </w:r>
    </w:p>
    <w:p w14:paraId="664C2F6F" w14:textId="1ACE9D7C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Musterd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S. (2012) “Ethnic Residential Segregation – Reflections on Concepts, Levels and Effects”, i Clapham, D. F., Clark, W.A.V. and Gibb, K. (red.)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The Sage Handbook of Housing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s. 419- 438. 20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</w:p>
    <w:p w14:paraId="48DD6133" w14:textId="77777777" w:rsidR="00996046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7F72D08D" w14:textId="77777777" w:rsidR="00996046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7A136921" w14:textId="6FE6AC74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5 Gentrification</w:t>
      </w:r>
    </w:p>
    <w:p w14:paraId="55B50E0C" w14:textId="53675251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Anguelovski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I. (2015), Healthy food stores,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greenlining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food gentrification: contesting new forms of privilege, displacement and locally unwanted land uses in racially mixed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neighborhoods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International Journal of Urban and Regional Research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39 (6): 1209-1230. 21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1DE8D454" w14:textId="3DCDCC36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Butler, T. &amp; Robson, G. (2001) "Social capital, gentrification and neighbourhood change in London: A comparison of three South London Neighbourhoods" i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Urban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vol. 38, s. 2145-2162. 18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422028B6" w14:textId="1597ED50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Florida, R. (2003), Cities and the Creative Class,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City and Community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2 (1): 3-19. 16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6D3D5E26" w14:textId="11C89EC9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Mezentsev, K., </w:t>
      </w:r>
      <w:r w:rsidRPr="00996046">
        <w:rPr>
          <w:rStyle w:val="Sterk"/>
          <w:rFonts w:ascii="Garamond" w:hAnsi="Garamond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M. Gentile</w:t>
      </w:r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, N. </w:t>
      </w:r>
      <w:proofErr w:type="spellStart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Mezentseva</w:t>
      </w:r>
      <w:proofErr w:type="spellEnd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och</w:t>
      </w:r>
      <w:proofErr w:type="spellEnd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Iu</w:t>
      </w:r>
      <w:proofErr w:type="spellEnd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Stebletska</w:t>
      </w:r>
      <w:proofErr w:type="spellEnd"/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(201</w:t>
      </w:r>
      <w:r w:rsidR="00225BD7"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9</w:t>
      </w:r>
      <w:r w:rsidRPr="0099604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), An island of civilization in a sea of delay? Indifference and fragmentation along the rugged shorelines of Kiev’s newbuild archipelago, </w:t>
      </w:r>
      <w:r w:rsidRPr="00996046">
        <w:rPr>
          <w:rStyle w:val="Utheving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Journal of Urban Affairs </w:t>
      </w:r>
      <w:r w:rsidRPr="00996046">
        <w:rPr>
          <w:rStyle w:val="Utheving"/>
          <w:rFonts w:ascii="Garamond" w:hAnsi="Garamond" w:cs="Arial"/>
          <w:i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41(5):</w:t>
      </w:r>
      <w:r w:rsidRPr="00996046">
        <w:rPr>
          <w:rStyle w:val="Utheving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r w:rsidRPr="00996046">
        <w:rPr>
          <w:rStyle w:val="Utheving"/>
          <w:rFonts w:ascii="Garamond" w:hAnsi="Garamond" w:cs="Arial"/>
          <w:i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654-678.</w:t>
      </w:r>
    </w:p>
    <w:p w14:paraId="6651CC17" w14:textId="58804815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Hamnett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C. (2003): "Gentrification and the Middle-Class remaking of Inner London, 1991-2001" i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Urban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40, s. 2401-2426. 26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6B0F8AF5" w14:textId="4C5A2269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Hamnett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C. (2009), The new Mikado? Tom Slater,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gentrification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displacement.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City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13 (4): 476–482. 6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4E52DBD4" w14:textId="38E6F0F5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Lees, L., Slater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T. Wyly, E. (2008):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Gentrification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kap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5: “The Birth of Gentrification”. Routledge, New York, s. 3-36. 33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5BC8338C" w14:textId="0EB6C68A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Lemanski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C. (2014), Hybrid gentrification in South Africa: Theorising across southern and northern cities.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Urban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51 (14): 2943–2960. 17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2A6E7267" w14:textId="14EB6651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Slater, T. (2009), Missing Marcuse: On gentrification and displacement’,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City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13 (2–3): 293–311. 18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sidor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59CE64C8" w14:textId="77777777" w:rsidR="00996046" w:rsidRPr="00996046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0E3ADC09" w14:textId="77777777" w:rsidR="00996046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2909191D" w14:textId="72B7BF82" w:rsidR="000F3C63" w:rsidRPr="00996046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6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Byplanlegging</w:t>
      </w:r>
      <w:proofErr w:type="spellEnd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sosial</w:t>
      </w:r>
      <w:proofErr w:type="spellEnd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  <w:t>bærekraft</w:t>
      </w:r>
      <w:proofErr w:type="spellEnd"/>
    </w:p>
    <w:p w14:paraId="0F12084B" w14:textId="601F4E52" w:rsidR="00174DD1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lastRenderedPageBreak/>
        <w:t>A</w:t>
      </w:r>
      <w:r w:rsidR="000F3C63"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n</w:t>
      </w:r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dersen, B. </w:t>
      </w:r>
      <w:proofErr w:type="spellStart"/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og</w:t>
      </w:r>
      <w:proofErr w:type="spellEnd"/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 </w:t>
      </w:r>
      <w:proofErr w:type="spellStart"/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Skrede</w:t>
      </w:r>
      <w:proofErr w:type="spellEnd"/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, J. (2016): Planning for a Sustainable Oslo: The Challenge of Turning Urban Theory into Practice. </w:t>
      </w:r>
      <w:r w:rsidRPr="00DA4A0B">
        <w:rPr>
          <w:rFonts w:ascii="Garamond" w:eastAsia="Times New Roman" w:hAnsi="Garamond" w:cs="Arial"/>
          <w:i/>
          <w:iCs/>
          <w:sz w:val="24"/>
          <w:szCs w:val="24"/>
          <w:highlight w:val="red"/>
          <w:bdr w:val="none" w:sz="0" w:space="0" w:color="auto" w:frame="1"/>
          <w:lang w:val="en-GB" w:eastAsia="sv-SE"/>
        </w:rPr>
        <w:t>Local Environment</w:t>
      </w:r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.</w:t>
      </w:r>
      <w:r w:rsidR="002B03FE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 </w:t>
      </w:r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Forthcoming. 21 </w:t>
      </w:r>
      <w:proofErr w:type="gramStart"/>
      <w:r w:rsidRPr="00DA4A0B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sider</w:t>
      </w:r>
      <w:proofErr w:type="gramEnd"/>
    </w:p>
    <w:p w14:paraId="73A5AF09" w14:textId="52959B4E" w:rsidR="00903E79" w:rsidRPr="00996046" w:rsidRDefault="009C27EF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>Anguelovski</w:t>
      </w:r>
      <w:proofErr w:type="spellEnd"/>
      <w:r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, I; </w:t>
      </w:r>
      <w:r w:rsidR="006F11F7"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Connolly, J and </w:t>
      </w:r>
      <w:r w:rsidR="004D7378"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Brand, A. L. (2018). </w:t>
      </w:r>
      <w:r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>From landscapes of utopia to the margins of the green urban life</w:t>
      </w:r>
      <w:r w:rsidR="002B03FE"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. </w:t>
      </w:r>
      <w:r w:rsidR="002B03FE" w:rsidRPr="00CB3815">
        <w:rPr>
          <w:rFonts w:ascii="Garamond" w:eastAsia="Times New Roman" w:hAnsi="Garamond" w:cs="Arial"/>
          <w:i/>
          <w:iCs/>
          <w:sz w:val="24"/>
          <w:szCs w:val="24"/>
          <w:highlight w:val="green"/>
          <w:lang w:val="en-GB" w:eastAsia="sv-SE"/>
        </w:rPr>
        <w:t>Cit</w:t>
      </w:r>
      <w:r w:rsidR="00CB3815" w:rsidRPr="00CB3815">
        <w:rPr>
          <w:rFonts w:ascii="Garamond" w:eastAsia="Times New Roman" w:hAnsi="Garamond" w:cs="Arial"/>
          <w:i/>
          <w:iCs/>
          <w:sz w:val="24"/>
          <w:szCs w:val="24"/>
          <w:highlight w:val="green"/>
          <w:lang w:val="en-GB" w:eastAsia="sv-SE"/>
        </w:rPr>
        <w:t>y.</w:t>
      </w:r>
      <w:r w:rsidR="002B03FE"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 </w:t>
      </w:r>
      <w:hyperlink r:id="rId6" w:history="1">
        <w:r w:rsidR="00CB3815" w:rsidRPr="00CB3815">
          <w:rPr>
            <w:rStyle w:val="Hyperkobling"/>
            <w:rFonts w:ascii="Garamond" w:eastAsia="Times New Roman" w:hAnsi="Garamond" w:cs="Arial"/>
            <w:sz w:val="24"/>
            <w:szCs w:val="24"/>
            <w:highlight w:val="green"/>
            <w:lang w:val="en-GB" w:eastAsia="sv-SE"/>
          </w:rPr>
          <w:t>https://doi.org/10.1080/13604813.2018.1473126</w:t>
        </w:r>
      </w:hyperlink>
      <w:r w:rsidR="00CB3815"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, 20 </w:t>
      </w:r>
      <w:proofErr w:type="gramStart"/>
      <w:r w:rsidR="00CB3815"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>sider</w:t>
      </w:r>
      <w:proofErr w:type="gramEnd"/>
      <w:r w:rsidR="00CB3815" w:rsidRPr="00CB3815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>.</w:t>
      </w:r>
    </w:p>
    <w:p w14:paraId="41D4CB89" w14:textId="77777777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Fainstein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S. (2010):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The just city. 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Cornell University Press,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Itacha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s. 57-184. 128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28917E5F" w14:textId="69DE9715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C7547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Marcuse, P. (2012): Whose right(s) to what city? In N. Brenner, P. Marcuse, &amp; M. Mayer (Eds.), </w:t>
      </w:r>
      <w:r w:rsidRPr="009C7547">
        <w:rPr>
          <w:rFonts w:ascii="Garamond" w:eastAsia="Times New Roman" w:hAnsi="Garamond" w:cs="Arial"/>
          <w:i/>
          <w:iCs/>
          <w:sz w:val="24"/>
          <w:szCs w:val="24"/>
          <w:highlight w:val="red"/>
          <w:lang w:val="en-GB" w:eastAsia="sv-SE"/>
        </w:rPr>
        <w:t>Cities for people, not for profit. Critical urban theory and the right to the city</w:t>
      </w:r>
      <w:r w:rsidRPr="009C7547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. London: Routledge, s. 24-41. 18 </w:t>
      </w:r>
      <w:proofErr w:type="gramStart"/>
      <w:r w:rsidRPr="009C7547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sider</w:t>
      </w:r>
      <w:proofErr w:type="gramEnd"/>
      <w:r w:rsidRPr="009C7547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.</w:t>
      </w:r>
    </w:p>
    <w:p w14:paraId="70A9DB86" w14:textId="575E3525" w:rsidR="00174DD1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nb-NO" w:eastAsia="sv-SE"/>
        </w:rPr>
      </w:pPr>
      <w:r w:rsidRPr="008D1B2E">
        <w:rPr>
          <w:rFonts w:ascii="Garamond" w:eastAsia="Times New Roman" w:hAnsi="Garamond" w:cs="Arial"/>
          <w:sz w:val="24"/>
          <w:szCs w:val="24"/>
          <w:lang w:val="en-US" w:eastAsia="sv-SE"/>
        </w:rPr>
        <w:t>Verlinghieri, E. og Schwanen, T. (2020).</w:t>
      </w:r>
      <w:r w:rsidR="004D7378" w:rsidRPr="008D1B2E">
        <w:rPr>
          <w:rFonts w:ascii="Garamond" w:eastAsia="Times New Roman" w:hAnsi="Garamond" w:cs="Arial"/>
          <w:sz w:val="24"/>
          <w:szCs w:val="24"/>
          <w:lang w:val="en-US" w:eastAsia="sv-SE"/>
        </w:rPr>
        <w:t xml:space="preserve"> 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Transport and mobility justice: Evolving discussions. </w:t>
      </w:r>
      <w:r w:rsidRPr="002B03FE">
        <w:rPr>
          <w:rFonts w:ascii="Garamond" w:eastAsia="Times New Roman" w:hAnsi="Garamond" w:cs="Arial"/>
          <w:i/>
          <w:iCs/>
          <w:sz w:val="24"/>
          <w:szCs w:val="24"/>
          <w:lang w:val="nb-NO" w:eastAsia="sv-SE"/>
        </w:rPr>
        <w:t>Journal of Transport Geography</w:t>
      </w:r>
      <w:r w:rsidRPr="00996046">
        <w:rPr>
          <w:rFonts w:ascii="Garamond" w:eastAsia="Times New Roman" w:hAnsi="Garamond" w:cs="Arial"/>
          <w:sz w:val="24"/>
          <w:szCs w:val="24"/>
          <w:lang w:val="nb-NO" w:eastAsia="sv-SE"/>
        </w:rPr>
        <w:t>. doi: 10.1016/j.jtrangeo.2020.102798</w:t>
      </w:r>
    </w:p>
    <w:p w14:paraId="6A1D829E" w14:textId="77777777" w:rsidR="00996046" w:rsidRPr="00996046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</w:pPr>
    </w:p>
    <w:p w14:paraId="498C0A9C" w14:textId="77777777" w:rsidR="00996046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</w:pPr>
    </w:p>
    <w:p w14:paraId="3F579BCA" w14:textId="0317F7DA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</w:pPr>
      <w:r w:rsidRPr="00996046"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  <w:t>7 Nyliberal bypolitikk og postmoderne byplanlegging</w:t>
      </w:r>
    </w:p>
    <w:p w14:paraId="666D79F4" w14:textId="2F5E672C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Andersen, B.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Røe, P.G. (2016): The social context and politics of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large scale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urban architecture: Investigating the design of Barcode, Oslo.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European Urban and Regional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 Doi: 10.1177/0969776416643751.</w:t>
      </w:r>
    </w:p>
    <w:p w14:paraId="57B5DC3E" w14:textId="0F072985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C81AE7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Borén, T. and C. Young (2013), Getting Creative with the ‘Creative City’? Towards New Perspectives on Creativity in Urban Policy, </w:t>
      </w:r>
      <w:r w:rsidRPr="00C81AE7">
        <w:rPr>
          <w:rFonts w:ascii="Garamond" w:eastAsia="Times New Roman" w:hAnsi="Garamond" w:cs="Arial"/>
          <w:i/>
          <w:iCs/>
          <w:sz w:val="24"/>
          <w:szCs w:val="24"/>
          <w:highlight w:val="red"/>
          <w:bdr w:val="none" w:sz="0" w:space="0" w:color="auto" w:frame="1"/>
          <w:lang w:val="en-GB" w:eastAsia="sv-SE"/>
        </w:rPr>
        <w:t>International Journal of Urban and Regional Research</w:t>
      </w:r>
      <w:r w:rsidRPr="00C81AE7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 37 (5): 1799-1815. 16 </w:t>
      </w:r>
      <w:proofErr w:type="spellStart"/>
      <w:r w:rsidRPr="00C81AE7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sidor</w:t>
      </w:r>
      <w:proofErr w:type="spellEnd"/>
      <w:r w:rsidRPr="00C81AE7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.</w:t>
      </w:r>
    </w:p>
    <w:p w14:paraId="76CF136E" w14:textId="20D084B2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Cardillo, P,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Kitchin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R.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Di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Feliciantonio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C. (2018). Living labs and vacancy in the neoliberal city. </w:t>
      </w:r>
      <w:r w:rsidRPr="00996046">
        <w:rPr>
          <w:rFonts w:ascii="Garamond" w:eastAsia="Times New Roman" w:hAnsi="Garamond" w:cs="Arial"/>
          <w:i/>
          <w:sz w:val="24"/>
          <w:szCs w:val="24"/>
          <w:lang w:val="en-GB" w:eastAsia="sv-SE"/>
        </w:rPr>
        <w:t>Cities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</w:t>
      </w:r>
      <w:hyperlink r:id="rId7" w:history="1">
        <w:r w:rsidRPr="00996046">
          <w:rPr>
            <w:rFonts w:ascii="Garamond" w:eastAsia="Times New Roman" w:hAnsi="Garamond" w:cs="Arial"/>
            <w:sz w:val="24"/>
            <w:szCs w:val="24"/>
            <w:u w:val="single"/>
            <w:lang w:val="en-GB" w:eastAsia="sv-SE"/>
          </w:rPr>
          <w:t>https://doi.org/10.1016/j.cities.2017.10.008</w:t>
        </w:r>
      </w:hyperlink>
    </w:p>
    <w:p w14:paraId="01296C29" w14:textId="7A7F6F09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F0201D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Hall, P. </w:t>
      </w:r>
      <w:proofErr w:type="spellStart"/>
      <w:r w:rsidRPr="00F0201D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og</w:t>
      </w:r>
      <w:proofErr w:type="spellEnd"/>
      <w:r w:rsidRPr="00F0201D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 Tewdwr-Jones, M. (2020): </w:t>
      </w:r>
      <w:r w:rsidRPr="00F0201D">
        <w:rPr>
          <w:rFonts w:ascii="Garamond" w:eastAsia="Times New Roman" w:hAnsi="Garamond" w:cs="Arial"/>
          <w:i/>
          <w:iCs/>
          <w:sz w:val="24"/>
          <w:szCs w:val="24"/>
          <w:highlight w:val="red"/>
          <w:bdr w:val="none" w:sz="0" w:space="0" w:color="auto" w:frame="1"/>
          <w:lang w:val="en-GB" w:eastAsia="sv-SE"/>
        </w:rPr>
        <w:t>Urban and regional planning</w:t>
      </w:r>
      <w:r w:rsidRPr="00F0201D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, </w:t>
      </w:r>
      <w:proofErr w:type="spellStart"/>
      <w:r w:rsidRPr="00F0201D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>Kapittel</w:t>
      </w:r>
      <w:proofErr w:type="spellEnd"/>
      <w:r w:rsidRPr="00F0201D">
        <w:rPr>
          <w:rFonts w:ascii="Garamond" w:eastAsia="Times New Roman" w:hAnsi="Garamond" w:cs="Arial"/>
          <w:sz w:val="24"/>
          <w:szCs w:val="24"/>
          <w:highlight w:val="red"/>
          <w:lang w:val="en-GB" w:eastAsia="sv-SE"/>
        </w:rPr>
        <w:t xml:space="preserve"> 10: A Future for Urban and Regional Planning.</w:t>
      </w:r>
    </w:p>
    <w:p w14:paraId="2D27047D" w14:textId="05D3AC53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Huchzermeyer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M. (2011) "Chapter Two: Urban competitiveness or improving poor people's lives: why 'Cities Without Slums'?", in M.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Huchzermeyer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Cities with ‘Slums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UCT Press, s. 47-68. 22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5F1F0925" w14:textId="5E1958F7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Lang, S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Rothenberg, J. (2016). Neoliberal urbanism, public space, and the greening of the growth machine: New York City’s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High Line park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</w:t>
      </w:r>
      <w:r w:rsidRPr="00996046">
        <w:rPr>
          <w:rFonts w:ascii="Garamond" w:eastAsia="Times New Roman" w:hAnsi="Garamond" w:cs="Arial"/>
          <w:i/>
          <w:sz w:val="24"/>
          <w:szCs w:val="24"/>
          <w:lang w:val="en-GB" w:eastAsia="sv-SE"/>
        </w:rPr>
        <w:t>Environment and Planning A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</w:t>
      </w:r>
      <w:hyperlink r:id="rId8" w:history="1">
        <w:r w:rsidRPr="00996046">
          <w:rPr>
            <w:rFonts w:ascii="Garamond" w:eastAsia="Times New Roman" w:hAnsi="Garamond" w:cs="Arial"/>
            <w:sz w:val="24"/>
            <w:szCs w:val="24"/>
            <w:u w:val="single"/>
            <w:lang w:val="en-GB" w:eastAsia="sv-SE"/>
          </w:rPr>
          <w:t>https://doi.org/10.1177%2F0308518X16677969</w:t>
        </w:r>
      </w:hyperlink>
    </w:p>
    <w:p w14:paraId="0AC52F72" w14:textId="77777777" w:rsidR="00495C90" w:rsidRDefault="000F3C63" w:rsidP="00495C90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u w:val="single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Mayer, M. (2018). Whose city? From Ray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Pahl’s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critique of the Keynesian city to the contestations around neoliberal urbanism. </w:t>
      </w:r>
      <w:r w:rsidRPr="00996046">
        <w:rPr>
          <w:rFonts w:ascii="Garamond" w:eastAsia="Times New Roman" w:hAnsi="Garamond" w:cs="Arial"/>
          <w:i/>
          <w:sz w:val="24"/>
          <w:szCs w:val="24"/>
          <w:lang w:val="en-GB" w:eastAsia="sv-SE"/>
        </w:rPr>
        <w:t>The Sociological Review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. </w:t>
      </w:r>
      <w:hyperlink r:id="rId9" w:history="1">
        <w:r w:rsidRPr="00996046">
          <w:rPr>
            <w:rFonts w:ascii="Garamond" w:eastAsia="Times New Roman" w:hAnsi="Garamond" w:cs="Arial"/>
            <w:sz w:val="24"/>
            <w:szCs w:val="24"/>
            <w:u w:val="single"/>
            <w:lang w:val="en-GB" w:eastAsia="sv-SE"/>
          </w:rPr>
          <w:t>https://doi.org/10.1111%2F1467-954X.12414</w:t>
        </w:r>
      </w:hyperlink>
    </w:p>
    <w:p w14:paraId="49BE4B7F" w14:textId="08EC523A" w:rsidR="009C7547" w:rsidRDefault="009C7547" w:rsidP="009C7547">
      <w:pPr>
        <w:shd w:val="clear" w:color="auto" w:fill="FFFFFF"/>
        <w:spacing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US" w:eastAsia="sv-SE"/>
        </w:rPr>
      </w:pPr>
      <w:r w:rsidRPr="009C7547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McNeill, D. (2019). </w:t>
      </w:r>
      <w:r w:rsidRPr="009C754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Volumetric urbanism: The production and extraction of Singaporean territory</w:t>
      </w:r>
      <w:r w:rsidRPr="009C754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 xml:space="preserve">. </w:t>
      </w:r>
      <w:r w:rsidRPr="009C7547">
        <w:rPr>
          <w:rFonts w:ascii="Garamond" w:eastAsia="Times New Roman" w:hAnsi="Garamond" w:cs="Arial"/>
          <w:i/>
          <w:iCs/>
          <w:sz w:val="24"/>
          <w:szCs w:val="24"/>
          <w:highlight w:val="green"/>
          <w:lang w:val="en-US" w:eastAsia="sv-SE"/>
        </w:rPr>
        <w:t>Environment and Planning A: Economy and Space.</w:t>
      </w:r>
      <w:r w:rsidRPr="009C754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 xml:space="preserve"> </w:t>
      </w:r>
      <w:hyperlink r:id="rId10" w:history="1">
        <w:r w:rsidRPr="009C7547">
          <w:rPr>
            <w:rStyle w:val="Hyperkobling"/>
            <w:rFonts w:ascii="Garamond" w:eastAsia="Times New Roman" w:hAnsi="Garamond" w:cs="Arial"/>
            <w:sz w:val="24"/>
            <w:szCs w:val="24"/>
            <w:highlight w:val="green"/>
            <w:lang w:val="en-US" w:eastAsia="sv-SE"/>
          </w:rPr>
          <w:t>https://doi.org/10.1177/0308518X19830699</w:t>
        </w:r>
      </w:hyperlink>
    </w:p>
    <w:p w14:paraId="1DAAC543" w14:textId="69E8E5C5" w:rsidR="00495C90" w:rsidRDefault="000A68F4" w:rsidP="00495C90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nb-NO" w:eastAsia="sv-SE"/>
        </w:rPr>
      </w:pPr>
      <w:r w:rsidRPr="00495C90">
        <w:rPr>
          <w:rFonts w:ascii="Garamond" w:eastAsia="Times New Roman" w:hAnsi="Garamond" w:cs="Arial"/>
          <w:sz w:val="24"/>
          <w:szCs w:val="24"/>
          <w:highlight w:val="green"/>
          <w:u w:val="single"/>
          <w:lang w:val="en-GB" w:eastAsia="sv-SE"/>
        </w:rPr>
        <w:t>Olesen, K. (</w:t>
      </w:r>
      <w:r w:rsidR="007D7E4A">
        <w:rPr>
          <w:rFonts w:ascii="Garamond" w:eastAsia="Times New Roman" w:hAnsi="Garamond" w:cs="Arial"/>
          <w:sz w:val="24"/>
          <w:szCs w:val="24"/>
          <w:highlight w:val="green"/>
          <w:u w:val="single"/>
          <w:lang w:val="en-GB" w:eastAsia="sv-SE"/>
        </w:rPr>
        <w:t>2020</w:t>
      </w:r>
      <w:r w:rsidRPr="00495C90">
        <w:rPr>
          <w:rFonts w:ascii="Garamond" w:eastAsia="Times New Roman" w:hAnsi="Garamond" w:cs="Arial"/>
          <w:sz w:val="24"/>
          <w:szCs w:val="24"/>
          <w:highlight w:val="green"/>
          <w:u w:val="single"/>
          <w:lang w:val="en-GB" w:eastAsia="sv-SE"/>
        </w:rPr>
        <w:t>)</w:t>
      </w:r>
      <w:r w:rsidR="00487984" w:rsidRPr="00495C90">
        <w:rPr>
          <w:rFonts w:ascii="Garamond" w:eastAsia="Times New Roman" w:hAnsi="Garamond" w:cs="Arial"/>
          <w:sz w:val="24"/>
          <w:szCs w:val="24"/>
          <w:highlight w:val="green"/>
          <w:u w:val="single"/>
          <w:lang w:val="en-GB" w:eastAsia="sv-SE"/>
        </w:rPr>
        <w:t xml:space="preserve">. </w:t>
      </w:r>
      <w:r w:rsidR="00487984" w:rsidRPr="00495C90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 xml:space="preserve">Infrastructure imaginaries: The politics of light rail projects in the age of neoliberalism. </w:t>
      </w:r>
      <w:r w:rsidR="00487984" w:rsidRPr="00495C90">
        <w:rPr>
          <w:rFonts w:ascii="Garamond" w:eastAsia="Times New Roman" w:hAnsi="Garamond" w:cs="Arial"/>
          <w:sz w:val="24"/>
          <w:szCs w:val="24"/>
          <w:highlight w:val="green"/>
          <w:lang w:val="nb-NO" w:eastAsia="sv-SE"/>
        </w:rPr>
        <w:t xml:space="preserve">Urban studies. </w:t>
      </w:r>
      <w:hyperlink r:id="rId11" w:history="1">
        <w:r w:rsidR="00495C90" w:rsidRPr="00495C90">
          <w:rPr>
            <w:rStyle w:val="Hyperkobling"/>
            <w:rFonts w:ascii="Garamond" w:eastAsia="Times New Roman" w:hAnsi="Garamond" w:cs="Arial"/>
            <w:sz w:val="24"/>
            <w:szCs w:val="24"/>
            <w:highlight w:val="green"/>
            <w:lang w:val="nb-NO" w:eastAsia="sv-SE"/>
          </w:rPr>
          <w:t>https://doi.org/10.1177/0042098019853502</w:t>
        </w:r>
      </w:hyperlink>
    </w:p>
    <w:p w14:paraId="674CE867" w14:textId="0239FA7A" w:rsidR="00811569" w:rsidRPr="00811569" w:rsidRDefault="00811569" w:rsidP="00495C90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u w:val="single"/>
          <w:lang w:val="en-US" w:eastAsia="sv-SE"/>
        </w:rPr>
      </w:pPr>
      <w:r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Parnell, S. (</w:t>
      </w:r>
      <w:r w:rsidR="00FA4366"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2012</w:t>
      </w:r>
      <w:r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)</w:t>
      </w:r>
      <w:r w:rsidR="00FA4366"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 xml:space="preserve">. (Re)theorizing Cities from the Global South: Looking Beyond </w:t>
      </w:r>
      <w:r w:rsidR="00C43791"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Neoliberalism. Urban Geography</w:t>
      </w:r>
      <w:r w:rsidR="007867E0"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 xml:space="preserve">. Vol. 33, </w:t>
      </w:r>
      <w:r w:rsidR="0052569B"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no. 4, s. 593-617</w:t>
      </w:r>
      <w:r w:rsidR="00F42697"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 xml:space="preserve">. 25 </w:t>
      </w:r>
      <w:proofErr w:type="gramStart"/>
      <w:r w:rsidR="00F42697"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sider</w:t>
      </w:r>
      <w:proofErr w:type="gramEnd"/>
      <w:r w:rsidR="00F42697" w:rsidRPr="00F42697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.</w:t>
      </w:r>
    </w:p>
    <w:p w14:paraId="7BD5BD2E" w14:textId="3DDE8BED" w:rsidR="000F3C63" w:rsidRPr="009C7547" w:rsidRDefault="000F3C63" w:rsidP="00495C90">
      <w:pPr>
        <w:spacing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US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Peck, </w:t>
      </w:r>
      <w:proofErr w:type="spellStart"/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J,Theodore</w:t>
      </w:r>
      <w:proofErr w:type="spellEnd"/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N.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Brenner, N. (2009): Neoliberal Urbanism: Models, Moments, Mutations. SAIS Review, vol. XXIX, no. 1. 19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2BEF8184" w14:textId="37857C33" w:rsidR="00A2656B" w:rsidRDefault="0025222E" w:rsidP="00A2656B">
      <w:pPr>
        <w:spacing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sv-SE"/>
        </w:rPr>
      </w:pPr>
      <w:r w:rsidRPr="006F10E2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>Smith, A</w:t>
      </w:r>
      <w:r w:rsidR="00BA343E" w:rsidRPr="006F10E2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. </w:t>
      </w:r>
      <w:r w:rsidR="00487984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>(</w:t>
      </w:r>
      <w:r w:rsidR="00BA343E" w:rsidRPr="006F10E2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>2020</w:t>
      </w:r>
      <w:r w:rsidR="00487984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>)</w:t>
      </w:r>
      <w:r w:rsidR="00BA343E" w:rsidRPr="006F10E2">
        <w:rPr>
          <w:rFonts w:ascii="Garamond" w:eastAsia="Times New Roman" w:hAnsi="Garamond" w:cs="Arial"/>
          <w:sz w:val="24"/>
          <w:szCs w:val="24"/>
          <w:highlight w:val="green"/>
          <w:lang w:val="en-GB" w:eastAsia="sv-SE"/>
        </w:rPr>
        <w:t xml:space="preserve">. </w:t>
      </w:r>
      <w:r w:rsidR="00A2656B" w:rsidRPr="006F10E2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 xml:space="preserve">Sustaining municipal parks in an era of neoliberal austerity: The contested </w:t>
      </w:r>
      <w:proofErr w:type="spellStart"/>
      <w:r w:rsidR="00A2656B" w:rsidRPr="006F10E2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>commercialisation</w:t>
      </w:r>
      <w:proofErr w:type="spellEnd"/>
      <w:r w:rsidR="00A2656B" w:rsidRPr="006F10E2">
        <w:rPr>
          <w:rFonts w:ascii="Garamond" w:eastAsia="Times New Roman" w:hAnsi="Garamond" w:cs="Arial"/>
          <w:sz w:val="24"/>
          <w:szCs w:val="24"/>
          <w:highlight w:val="green"/>
          <w:lang w:val="en-US" w:eastAsia="sv-SE"/>
        </w:rPr>
        <w:t xml:space="preserve"> of Gunnersbury Park.</w:t>
      </w:r>
      <w:r w:rsidR="00A2656B" w:rsidRPr="006F10E2">
        <w:rPr>
          <w:rFonts w:ascii="Garamond" w:eastAsia="Times New Roman" w:hAnsi="Garamond" w:cs="Arial"/>
          <w:sz w:val="24"/>
          <w:szCs w:val="24"/>
          <w:highlight w:val="green"/>
          <w:lang w:eastAsia="sv-SE"/>
        </w:rPr>
        <w:t xml:space="preserve"> </w:t>
      </w:r>
      <w:r w:rsidR="00A2656B" w:rsidRPr="006F10E2">
        <w:rPr>
          <w:rFonts w:ascii="Garamond" w:eastAsia="Times New Roman" w:hAnsi="Garamond" w:cs="Arial"/>
          <w:i/>
          <w:iCs/>
          <w:sz w:val="24"/>
          <w:szCs w:val="24"/>
          <w:highlight w:val="green"/>
          <w:lang w:eastAsia="sv-SE"/>
        </w:rPr>
        <w:t>Environment and Planning A</w:t>
      </w:r>
      <w:r w:rsidR="00A2656B" w:rsidRPr="006F10E2">
        <w:rPr>
          <w:rFonts w:ascii="Garamond" w:eastAsia="Times New Roman" w:hAnsi="Garamond" w:cs="Arial"/>
          <w:sz w:val="24"/>
          <w:szCs w:val="24"/>
          <w:highlight w:val="green"/>
          <w:lang w:eastAsia="sv-SE"/>
        </w:rPr>
        <w:t xml:space="preserve">.  </w:t>
      </w:r>
      <w:hyperlink r:id="rId12" w:history="1">
        <w:r w:rsidR="006F10E2" w:rsidRPr="006F10E2">
          <w:rPr>
            <w:rStyle w:val="Hyperkobling"/>
            <w:rFonts w:ascii="Garamond" w:eastAsia="Times New Roman" w:hAnsi="Garamond" w:cs="Arial"/>
            <w:sz w:val="24"/>
            <w:szCs w:val="24"/>
            <w:highlight w:val="green"/>
            <w:lang w:eastAsia="sv-SE"/>
          </w:rPr>
          <w:t>https://doi.org/10.1177/0308518X20951814</w:t>
        </w:r>
      </w:hyperlink>
    </w:p>
    <w:p w14:paraId="568139A9" w14:textId="1F13738C" w:rsidR="00E57DAD" w:rsidRPr="00996046" w:rsidRDefault="00E57DAD" w:rsidP="00996046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9C7547">
        <w:rPr>
          <w:rFonts w:ascii="Garamond" w:hAnsi="Garamond" w:cs="Arial"/>
          <w:sz w:val="24"/>
          <w:szCs w:val="24"/>
          <w:highlight w:val="red"/>
          <w:shd w:val="clear" w:color="auto" w:fill="FFFFFF"/>
          <w:lang w:val="en-US"/>
        </w:rPr>
        <w:t xml:space="preserve">Gaffney, C., Wolfe, S. D., &amp; Müller, M. (2018). </w:t>
      </w:r>
      <w:r w:rsidRPr="00C81AE7">
        <w:rPr>
          <w:rFonts w:ascii="Garamond" w:hAnsi="Garamond" w:cs="Arial"/>
          <w:sz w:val="24"/>
          <w:szCs w:val="24"/>
          <w:highlight w:val="red"/>
          <w:shd w:val="clear" w:color="auto" w:fill="FFFFFF"/>
          <w:lang w:val="en-GB"/>
        </w:rPr>
        <w:t xml:space="preserve">“Scrutinizing global mega-events,” in eds. J. Harrison and M. </w:t>
      </w:r>
      <w:proofErr w:type="spellStart"/>
      <w:r w:rsidRPr="00C81AE7">
        <w:rPr>
          <w:rFonts w:ascii="Garamond" w:hAnsi="Garamond" w:cs="Arial"/>
          <w:sz w:val="24"/>
          <w:szCs w:val="24"/>
          <w:highlight w:val="red"/>
          <w:shd w:val="clear" w:color="auto" w:fill="FFFFFF"/>
          <w:lang w:val="en-GB"/>
        </w:rPr>
        <w:t>Hoyler</w:t>
      </w:r>
      <w:proofErr w:type="spellEnd"/>
      <w:r w:rsidRPr="00C81AE7">
        <w:rPr>
          <w:rFonts w:ascii="Garamond" w:hAnsi="Garamond" w:cs="Arial"/>
          <w:sz w:val="24"/>
          <w:szCs w:val="24"/>
          <w:highlight w:val="red"/>
          <w:shd w:val="clear" w:color="auto" w:fill="FFFFFF"/>
          <w:lang w:val="en-GB"/>
        </w:rPr>
        <w:t>, Doing Global Urban Research (Los Angeles: SAGE), 125-137.</w:t>
      </w:r>
    </w:p>
    <w:p w14:paraId="3B1CAF63" w14:textId="77777777" w:rsidR="00E57DAD" w:rsidRPr="00996046" w:rsidRDefault="00E57DAD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</w:p>
    <w:p w14:paraId="71D3A3E6" w14:textId="77777777" w:rsidR="00996046" w:rsidRPr="00425DEE" w:rsidRDefault="00996046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en-GB" w:eastAsia="sv-SE"/>
        </w:rPr>
      </w:pPr>
    </w:p>
    <w:p w14:paraId="188117B0" w14:textId="1C7FE728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</w:pPr>
      <w:r w:rsidRPr="00996046"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  <w:t>8 Bærekraftig byutvikling</w:t>
      </w:r>
    </w:p>
    <w:p w14:paraId="3ECCD7F5" w14:textId="77777777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nb-NO" w:eastAsia="sv-SE"/>
        </w:rPr>
        <w:lastRenderedPageBreak/>
        <w:t xml:space="preserve">Næss, P.; Saglie, I.-L. &amp; Richardson, T. (2019). 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Urban sustainability: is densification sufficient? </w:t>
      </w:r>
      <w:r w:rsidRPr="00996046">
        <w:rPr>
          <w:rFonts w:ascii="Garamond" w:eastAsia="Times New Roman" w:hAnsi="Garamond" w:cs="Arial"/>
          <w:i/>
          <w:sz w:val="24"/>
          <w:szCs w:val="24"/>
          <w:lang w:val="en-GB" w:eastAsia="sv-SE"/>
        </w:rPr>
        <w:t>European Planning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DOI 10.1080/09654313.2019.1604633.</w:t>
      </w:r>
    </w:p>
    <w:p w14:paraId="47AE8B34" w14:textId="3A79B09B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Schwanen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T. (2015): “The Bumpy Road toward Low-Energy Urban Mobility: Case Studies from Two UK Cities”.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Sustainability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vol. 7, nr. 6, s. 7086-7111. 26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0E1F2F32" w14:textId="77777777" w:rsidR="000F3C63" w:rsidRPr="00996046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Urban Geography (2018), special issue, vol. 40, no. 3, pages: </w:t>
      </w:r>
      <w:hyperlink r:id="rId13" w:history="1">
        <w:r w:rsidRPr="00996046">
          <w:rPr>
            <w:rStyle w:val="Hyperkobling"/>
            <w:rFonts w:ascii="Garamond" w:hAnsi="Garamond" w:cs="Arial"/>
            <w:color w:val="auto"/>
            <w:sz w:val="24"/>
            <w:szCs w:val="24"/>
            <w:lang w:val="en-GB"/>
          </w:rPr>
          <w:t>https://www.tandfonline.com/toc/rurb20/40/3</w:t>
        </w:r>
      </w:hyperlink>
    </w:p>
    <w:p w14:paraId="5D625AD1" w14:textId="77777777" w:rsidR="000F3C63" w:rsidRPr="00996046" w:rsidRDefault="000F3C63" w:rsidP="009960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Transportation sustainability in the urban context: a comprehensive review,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Selima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Sultana, Deborah Salon &amp; Michael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Kuby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pages: 279-308</w:t>
      </w:r>
    </w:p>
    <w:p w14:paraId="2142F2F9" w14:textId="77777777" w:rsidR="000F3C63" w:rsidRPr="00996046" w:rsidRDefault="000F3C63" w:rsidP="009960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Urban resilience for whom, what, when, where, and why? Sara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Meerow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&amp; Joshua P. Newell, pages: 309-329</w:t>
      </w:r>
    </w:p>
    <w:p w14:paraId="206FF547" w14:textId="77777777" w:rsidR="000F3C63" w:rsidRPr="00996046" w:rsidRDefault="000F3C63" w:rsidP="009960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Green infrastructure, green space, and sustainable urbanism: geography’s important role, Lisa Benton-Short, Melissa Keeley &amp; Jennifer Rowland, pages: 330-351</w:t>
      </w:r>
    </w:p>
    <w:p w14:paraId="614B69A7" w14:textId="77777777" w:rsidR="00996046" w:rsidRPr="00996046" w:rsidRDefault="000F3C63" w:rsidP="009960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Uneven urban metabolisms: toward an integrative (ex)urban political ecology of sustainability in and around the city, Innisfree McKinnon, Patrick T Hurley, Colleen C Myles, Megan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Maccaroni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&amp; Trina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Filan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pages: 352-377</w:t>
      </w:r>
    </w:p>
    <w:p w14:paraId="04100206" w14:textId="77777777" w:rsidR="00996046" w:rsidRPr="00996046" w:rsidRDefault="00996046" w:rsidP="00996046">
      <w:pPr>
        <w:pStyle w:val="Listeavsnitt"/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</w:p>
    <w:p w14:paraId="2E18BCE7" w14:textId="25212833" w:rsidR="00174DD1" w:rsidRPr="00425DEE" w:rsidRDefault="000F3C63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nb-NO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nb-NO" w:eastAsia="sv-SE"/>
        </w:rPr>
        <w:t xml:space="preserve">Ca </w:t>
      </w:r>
      <w:r w:rsidR="00174DD1" w:rsidRPr="00996046">
        <w:rPr>
          <w:rFonts w:ascii="Garamond" w:eastAsia="Times New Roman" w:hAnsi="Garamond" w:cs="Arial"/>
          <w:sz w:val="24"/>
          <w:szCs w:val="24"/>
          <w:lang w:val="nb-NO" w:eastAsia="sv-SE"/>
        </w:rPr>
        <w:t>1000 sider totalt.</w:t>
      </w:r>
    </w:p>
    <w:p w14:paraId="0613B90C" w14:textId="77777777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nb-NO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nb-NO" w:eastAsia="sv-SE"/>
        </w:rPr>
        <w:t> </w:t>
      </w:r>
    </w:p>
    <w:p w14:paraId="3DAEADA4" w14:textId="77777777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</w:pPr>
      <w:r w:rsidRPr="00996046">
        <w:rPr>
          <w:rFonts w:ascii="Garamond" w:eastAsia="Times New Roman" w:hAnsi="Garamond" w:cs="Arial"/>
          <w:b/>
          <w:bCs/>
          <w:sz w:val="24"/>
          <w:szCs w:val="24"/>
          <w:lang w:val="nb-NO" w:eastAsia="sv-SE"/>
        </w:rPr>
        <w:t>Anbefalt litteratur:</w:t>
      </w:r>
    </w:p>
    <w:p w14:paraId="714853D4" w14:textId="6978FDED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Bråmå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Å. (2006): "White Flight? The Production and Reproduction of Immigrant Concentration Areas in Swedish Cities, 1990-2000" i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Urban Studies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vol. 43, s. 1127-1146. 20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7EC4D164" w14:textId="61B26235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Gentile, M., J.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Salukvadze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D.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Gogishvili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(2015), Newbuild gentrification, tele-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urbanization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urban growth: placing the cities of the post-Communist South in the gentrification debate, </w:t>
      </w:r>
      <w:proofErr w:type="spellStart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Geografie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 120 (2): 134-163. OBS: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Viktigste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delen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er 134-144.</w:t>
      </w:r>
    </w:p>
    <w:p w14:paraId="5FA1E063" w14:textId="136E87CA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Harris,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C.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E. Ullman (1945), The nature of cities,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The Annals of the American Academy of Political and Social Science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 242 (Nov. 1945), 7-17.</w:t>
      </w:r>
    </w:p>
    <w:p w14:paraId="602A27EE" w14:textId="77777777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Park,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R.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and E. Burgess (1925),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 xml:space="preserve">The City –Suggestions for Investigation of Human </w:t>
      </w:r>
      <w:proofErr w:type="spellStart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Behavior</w:t>
      </w:r>
      <w:proofErr w:type="spellEnd"/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 xml:space="preserve"> in the Urban Environment 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(Chicago: University of Chicago Press),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kapitel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1-9.</w:t>
      </w:r>
    </w:p>
    <w:p w14:paraId="4C4AB9DD" w14:textId="125BFF84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val="en-GB" w:eastAsia="sv-SE"/>
        </w:rPr>
      </w:pP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Storper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M.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og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 Manville, M. (2006):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“ Behaviour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, Preferences and Cities: Urban Theory and Urban Resurgence”.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Urban Studies 43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, s. 1247-1274. 27 </w:t>
      </w:r>
      <w:proofErr w:type="gramStart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sider</w:t>
      </w:r>
      <w:proofErr w:type="gramEnd"/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.</w:t>
      </w:r>
    </w:p>
    <w:p w14:paraId="69C93C68" w14:textId="6E662818" w:rsidR="00174DD1" w:rsidRPr="00996046" w:rsidRDefault="00174DD1" w:rsidP="0099604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sv-SE"/>
        </w:rPr>
      </w:pP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>Watson, V. (2009): "Seeing from the South: Refocusing Urban Planning on the Globe’s Central Issues" I </w:t>
      </w:r>
      <w:r w:rsidRPr="00996046">
        <w:rPr>
          <w:rFonts w:ascii="Garamond" w:eastAsia="Times New Roman" w:hAnsi="Garamond" w:cs="Arial"/>
          <w:i/>
          <w:iCs/>
          <w:sz w:val="24"/>
          <w:szCs w:val="24"/>
          <w:bdr w:val="none" w:sz="0" w:space="0" w:color="auto" w:frame="1"/>
          <w:lang w:val="en-GB" w:eastAsia="sv-SE"/>
        </w:rPr>
        <w:t>Urban Studies </w:t>
      </w:r>
      <w:r w:rsidRPr="00996046">
        <w:rPr>
          <w:rFonts w:ascii="Garamond" w:eastAsia="Times New Roman" w:hAnsi="Garamond" w:cs="Arial"/>
          <w:sz w:val="24"/>
          <w:szCs w:val="24"/>
          <w:lang w:val="en-GB" w:eastAsia="sv-SE"/>
        </w:rPr>
        <w:t xml:space="preserve">vol. 46, nr. 11, s. 2259-2275. </w:t>
      </w:r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 xml:space="preserve">26 </w:t>
      </w:r>
      <w:proofErr w:type="spellStart"/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>sider</w:t>
      </w:r>
      <w:proofErr w:type="spellEnd"/>
      <w:r w:rsidRPr="00996046">
        <w:rPr>
          <w:rFonts w:ascii="Garamond" w:eastAsia="Times New Roman" w:hAnsi="Garamond" w:cs="Arial"/>
          <w:sz w:val="24"/>
          <w:szCs w:val="24"/>
          <w:lang w:eastAsia="sv-SE"/>
        </w:rPr>
        <w:t>.</w:t>
      </w:r>
    </w:p>
    <w:p w14:paraId="681F5BEA" w14:textId="77777777" w:rsidR="00122F75" w:rsidRPr="00996046" w:rsidRDefault="00122F75" w:rsidP="00996046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22F75" w:rsidRPr="0099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14E1"/>
    <w:multiLevelType w:val="hybridMultilevel"/>
    <w:tmpl w:val="6B70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929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D1"/>
    <w:rsid w:val="000A68F4"/>
    <w:rsid w:val="000F3C63"/>
    <w:rsid w:val="000F6020"/>
    <w:rsid w:val="00122F75"/>
    <w:rsid w:val="001623E2"/>
    <w:rsid w:val="00174DD1"/>
    <w:rsid w:val="001D4AF1"/>
    <w:rsid w:val="00223188"/>
    <w:rsid w:val="00225BD7"/>
    <w:rsid w:val="0025222E"/>
    <w:rsid w:val="002B03FE"/>
    <w:rsid w:val="003A68E5"/>
    <w:rsid w:val="00425DEE"/>
    <w:rsid w:val="00444558"/>
    <w:rsid w:val="00487984"/>
    <w:rsid w:val="00495C90"/>
    <w:rsid w:val="004A1BC8"/>
    <w:rsid w:val="004D7378"/>
    <w:rsid w:val="004E4105"/>
    <w:rsid w:val="0052569B"/>
    <w:rsid w:val="005809EA"/>
    <w:rsid w:val="00643465"/>
    <w:rsid w:val="006F10E2"/>
    <w:rsid w:val="006F11F7"/>
    <w:rsid w:val="007867E0"/>
    <w:rsid w:val="007D7E4A"/>
    <w:rsid w:val="00811569"/>
    <w:rsid w:val="0081281D"/>
    <w:rsid w:val="00852D1E"/>
    <w:rsid w:val="008D1B2E"/>
    <w:rsid w:val="00903E79"/>
    <w:rsid w:val="009454D9"/>
    <w:rsid w:val="009512F1"/>
    <w:rsid w:val="00974309"/>
    <w:rsid w:val="00996046"/>
    <w:rsid w:val="009C27EF"/>
    <w:rsid w:val="009C7547"/>
    <w:rsid w:val="00A2656B"/>
    <w:rsid w:val="00B14B7D"/>
    <w:rsid w:val="00BA343E"/>
    <w:rsid w:val="00C43791"/>
    <w:rsid w:val="00C81AE7"/>
    <w:rsid w:val="00CB3815"/>
    <w:rsid w:val="00D04456"/>
    <w:rsid w:val="00DA4A0B"/>
    <w:rsid w:val="00E57DAD"/>
    <w:rsid w:val="00E84420"/>
    <w:rsid w:val="00EA1A33"/>
    <w:rsid w:val="00F0201D"/>
    <w:rsid w:val="00F42697"/>
    <w:rsid w:val="00F6738A"/>
    <w:rsid w:val="00FA4366"/>
    <w:rsid w:val="00FB6AA9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0696"/>
  <w15:chartTrackingRefBased/>
  <w15:docId w15:val="{BAF259DB-75FF-4212-8C81-D5394067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6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174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Overskrift5">
    <w:name w:val="heading 5"/>
    <w:basedOn w:val="Normal"/>
    <w:link w:val="Overskrift5Tegn"/>
    <w:uiPriority w:val="9"/>
    <w:qFormat/>
    <w:rsid w:val="00174D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74DD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74DD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Utheving">
    <w:name w:val="Emphasis"/>
    <w:basedOn w:val="Standardskriftforavsnitt"/>
    <w:uiPriority w:val="20"/>
    <w:qFormat/>
    <w:rsid w:val="00174D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erk">
    <w:name w:val="Strong"/>
    <w:basedOn w:val="Standardskriftforavsnitt"/>
    <w:uiPriority w:val="22"/>
    <w:qFormat/>
    <w:rsid w:val="00174DD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68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68E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68E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68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68E5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0F3C6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F3C63"/>
    <w:pPr>
      <w:spacing w:line="256" w:lineRule="auto"/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B381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6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308518X16677969" TargetMode="External"/><Relationship Id="rId13" Type="http://schemas.openxmlformats.org/officeDocument/2006/relationships/hyperlink" Target="https://www.tandfonline.com/toc/rurb20/40/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cities.2017.10.008" TargetMode="External"/><Relationship Id="rId12" Type="http://schemas.openxmlformats.org/officeDocument/2006/relationships/hyperlink" Target="https://doi.org/10.1177/0308518X209518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13604813.2018.1473126" TargetMode="External"/><Relationship Id="rId11" Type="http://schemas.openxmlformats.org/officeDocument/2006/relationships/hyperlink" Target="https://doi.org/10.1177/00420980198535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77/0308518X19830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%2F1467-954X.124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D2BE-BDCC-4724-9CDE-F90EA2C4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1938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michgent michgent</dc:creator>
  <cp:keywords/>
  <dc:description/>
  <cp:lastModifiedBy>Per Gunnar Røe</cp:lastModifiedBy>
  <cp:revision>3</cp:revision>
  <dcterms:created xsi:type="dcterms:W3CDTF">2023-10-17T22:17:00Z</dcterms:created>
  <dcterms:modified xsi:type="dcterms:W3CDTF">2023-10-17T22:19:00Z</dcterms:modified>
</cp:coreProperties>
</file>