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11" w:rsidRDefault="00B44079" w:rsidP="00802A3D">
      <w:pPr>
        <w:keepNext/>
        <w:keepLines/>
        <w:spacing w:after="0" w:line="240" w:lineRule="auto"/>
        <w:jc w:val="center"/>
        <w:outlineLvl w:val="0"/>
        <w:rPr>
          <w:rFonts w:ascii="Times New Roman" w:eastAsia="SimSun" w:hAnsi="Times New Roman" w:cs="Times New Roman"/>
          <w:b/>
          <w:bCs/>
          <w:sz w:val="32"/>
          <w:szCs w:val="32"/>
          <w:lang w:val="en-GB" w:eastAsia="en-US"/>
        </w:rPr>
      </w:pPr>
      <w:bookmarkStart w:id="0" w:name="_GoBack"/>
      <w:bookmarkEnd w:id="0"/>
      <w:r>
        <w:rPr>
          <w:rFonts w:ascii="Times New Roman" w:eastAsia="SimSun" w:hAnsi="Times New Roman" w:cs="Times New Roman"/>
          <w:b/>
          <w:bCs/>
          <w:sz w:val="32"/>
          <w:szCs w:val="32"/>
          <w:lang w:val="en-GB" w:eastAsia="en-US"/>
        </w:rPr>
        <w:t xml:space="preserve">SAMEVAL, </w:t>
      </w:r>
      <w:r w:rsidR="007102FE" w:rsidRPr="00FF3411">
        <w:rPr>
          <w:rFonts w:ascii="Times New Roman" w:eastAsia="SimSun" w:hAnsi="Times New Roman" w:cs="Times New Roman"/>
          <w:b/>
          <w:bCs/>
          <w:sz w:val="32"/>
          <w:szCs w:val="32"/>
          <w:lang w:val="en-GB" w:eastAsia="en-US"/>
        </w:rPr>
        <w:t>S</w:t>
      </w:r>
      <w:r w:rsidR="007102FE" w:rsidRPr="007102FE">
        <w:rPr>
          <w:rFonts w:ascii="Times New Roman" w:eastAsia="SimSun" w:hAnsi="Times New Roman" w:cs="Times New Roman"/>
          <w:b/>
          <w:bCs/>
          <w:sz w:val="32"/>
          <w:szCs w:val="32"/>
          <w:lang w:val="en-GB" w:eastAsia="en-US"/>
        </w:rPr>
        <w:t>elf-assessment level 2</w:t>
      </w:r>
      <w:r w:rsidR="00802A3D" w:rsidRPr="00FF3411">
        <w:rPr>
          <w:rFonts w:ascii="Times New Roman" w:eastAsia="SimSun" w:hAnsi="Times New Roman" w:cs="Times New Roman"/>
          <w:b/>
          <w:bCs/>
          <w:sz w:val="32"/>
          <w:szCs w:val="32"/>
          <w:lang w:val="en-GB" w:eastAsia="en-US"/>
        </w:rPr>
        <w:t xml:space="preserve"> </w:t>
      </w:r>
    </w:p>
    <w:p w:rsidR="007102FE" w:rsidRPr="00FF3411" w:rsidRDefault="00802A3D" w:rsidP="00802A3D">
      <w:pPr>
        <w:keepNext/>
        <w:keepLines/>
        <w:spacing w:after="0" w:line="240" w:lineRule="auto"/>
        <w:jc w:val="center"/>
        <w:outlineLvl w:val="0"/>
        <w:rPr>
          <w:rFonts w:ascii="Times New Roman" w:eastAsia="SimSun" w:hAnsi="Times New Roman" w:cs="Times New Roman"/>
          <w:b/>
          <w:bCs/>
          <w:sz w:val="32"/>
          <w:szCs w:val="32"/>
          <w:lang w:val="en-GB" w:eastAsia="en-US"/>
        </w:rPr>
      </w:pPr>
      <w:r w:rsidRPr="00FF3411">
        <w:rPr>
          <w:rFonts w:ascii="Times New Roman" w:eastAsia="SimSun" w:hAnsi="Times New Roman" w:cs="Times New Roman"/>
          <w:b/>
          <w:bCs/>
          <w:sz w:val="32"/>
          <w:szCs w:val="32"/>
          <w:lang w:val="en-GB" w:eastAsia="en-US"/>
        </w:rPr>
        <w:t>Faculty of Social Sciences, University of Oslo</w:t>
      </w:r>
    </w:p>
    <w:p w:rsidR="00180A0B" w:rsidRPr="007102FE" w:rsidRDefault="00180A0B" w:rsidP="00802A3D">
      <w:pPr>
        <w:keepNext/>
        <w:keepLines/>
        <w:spacing w:after="0" w:line="240" w:lineRule="auto"/>
        <w:jc w:val="center"/>
        <w:outlineLvl w:val="0"/>
        <w:rPr>
          <w:rFonts w:ascii="Times New Roman" w:eastAsia="SimSun" w:hAnsi="Times New Roman" w:cs="Times New Roman"/>
          <w:b/>
          <w:bCs/>
          <w:sz w:val="32"/>
          <w:szCs w:val="32"/>
          <w:lang w:val="en-GB" w:eastAsia="en-US"/>
        </w:rPr>
      </w:pPr>
    </w:p>
    <w:p w:rsidR="00180A0B" w:rsidRPr="00FF3411" w:rsidRDefault="00272F5D" w:rsidP="00802A3D">
      <w:pPr>
        <w:keepNext/>
        <w:keepLines/>
        <w:numPr>
          <w:ilvl w:val="1"/>
          <w:numId w:val="0"/>
        </w:numPr>
        <w:tabs>
          <w:tab w:val="num" w:pos="360"/>
        </w:tabs>
        <w:spacing w:after="0" w:line="240" w:lineRule="auto"/>
        <w:jc w:val="center"/>
        <w:outlineLvl w:val="1"/>
        <w:rPr>
          <w:rFonts w:ascii="Times New Roman" w:eastAsia="SimSun" w:hAnsi="Times New Roman" w:cs="Times New Roman"/>
          <w:b/>
          <w:bCs/>
          <w:sz w:val="32"/>
          <w:szCs w:val="32"/>
          <w:lang w:val="en-GB" w:eastAsia="en-US"/>
        </w:rPr>
      </w:pPr>
      <w:r>
        <w:rPr>
          <w:rFonts w:ascii="Times New Roman" w:eastAsia="SimSun" w:hAnsi="Times New Roman" w:cs="Times New Roman"/>
          <w:b/>
          <w:bCs/>
          <w:sz w:val="32"/>
          <w:szCs w:val="32"/>
          <w:lang w:val="en-GB" w:eastAsia="en-US"/>
        </w:rPr>
        <w:t xml:space="preserve">Panel 6: </w:t>
      </w:r>
      <w:r w:rsidR="00802A3D" w:rsidRPr="00FF3411">
        <w:rPr>
          <w:rFonts w:ascii="Times New Roman" w:eastAsia="SimSun" w:hAnsi="Times New Roman" w:cs="Times New Roman"/>
          <w:b/>
          <w:bCs/>
          <w:sz w:val="32"/>
          <w:szCs w:val="32"/>
          <w:lang w:val="en-GB" w:eastAsia="en-US"/>
        </w:rPr>
        <w:t>Economic-administrative research</w:t>
      </w:r>
    </w:p>
    <w:p w:rsidR="00180A0B" w:rsidRDefault="00180A0B"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sz w:val="24"/>
          <w:szCs w:val="24"/>
          <w:lang w:val="en-GB" w:eastAsia="en-US"/>
        </w:rPr>
      </w:pPr>
    </w:p>
    <w:p w:rsidR="00802A3D" w:rsidRDefault="00802A3D"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sz w:val="24"/>
          <w:szCs w:val="24"/>
          <w:lang w:val="en-GB" w:eastAsia="en-US"/>
        </w:rPr>
      </w:pPr>
    </w:p>
    <w:p w:rsidR="00F738B7" w:rsidRDefault="007533D4" w:rsidP="00FD134D">
      <w:pPr>
        <w:keepNext/>
        <w:keepLines/>
        <w:numPr>
          <w:ilvl w:val="1"/>
          <w:numId w:val="0"/>
        </w:numPr>
        <w:tabs>
          <w:tab w:val="num" w:pos="0"/>
        </w:tabs>
        <w:spacing w:after="0" w:line="240" w:lineRule="auto"/>
        <w:jc w:val="both"/>
        <w:outlineLvl w:val="1"/>
        <w:rPr>
          <w:rFonts w:ascii="Times New Roman" w:eastAsia="SimSun" w:hAnsi="Times New Roman" w:cs="Times New Roman"/>
          <w:bCs/>
          <w:sz w:val="24"/>
          <w:szCs w:val="24"/>
          <w:lang w:val="en-GB" w:eastAsia="en-US"/>
        </w:rPr>
      </w:pPr>
      <w:r>
        <w:rPr>
          <w:rFonts w:ascii="Times New Roman" w:eastAsia="SimSun" w:hAnsi="Times New Roman" w:cs="Times New Roman"/>
          <w:bCs/>
          <w:sz w:val="24"/>
          <w:szCs w:val="24"/>
          <w:lang w:val="en-GB" w:eastAsia="en-US"/>
        </w:rPr>
        <w:t xml:space="preserve">The Faculty of Social Sciences at the University of Oslo does not have a Department or organizational unit that is entirely devoted to economic-administrative research. </w:t>
      </w:r>
      <w:r w:rsidR="002662EC">
        <w:rPr>
          <w:rFonts w:ascii="Times New Roman" w:eastAsia="SimSun" w:hAnsi="Times New Roman" w:cs="Times New Roman"/>
          <w:bCs/>
          <w:sz w:val="24"/>
          <w:szCs w:val="24"/>
          <w:lang w:val="en-GB" w:eastAsia="en-US"/>
        </w:rPr>
        <w:t xml:space="preserve">However, the Faculty’s Centre for Technology, Innovation and Culture (TIK) has a research group in innovation studies. Research and teaching activities in innovation studies </w:t>
      </w:r>
      <w:r w:rsidR="00FD134D">
        <w:rPr>
          <w:rFonts w:ascii="Times New Roman" w:eastAsia="SimSun" w:hAnsi="Times New Roman" w:cs="Times New Roman"/>
          <w:bCs/>
          <w:sz w:val="24"/>
          <w:szCs w:val="24"/>
          <w:lang w:val="en-GB" w:eastAsia="en-US"/>
        </w:rPr>
        <w:t xml:space="preserve">at TIK study the creation and diffusion of advanced technologies, their economic determinants in private firms and public organizations, and their economic and societal impacts. As such, TIK’s innovation studies’ activities are thematically close and highly relevant to economic-administrative research at large. This document will therefore present a self-assessment of economic-administrative research </w:t>
      </w:r>
      <w:r w:rsidR="00E8145A">
        <w:rPr>
          <w:rFonts w:ascii="Times New Roman" w:eastAsia="SimSun" w:hAnsi="Times New Roman" w:cs="Times New Roman"/>
          <w:bCs/>
          <w:sz w:val="24"/>
          <w:szCs w:val="24"/>
          <w:lang w:val="en-GB" w:eastAsia="en-US"/>
        </w:rPr>
        <w:t xml:space="preserve">in the field of innovation studies </w:t>
      </w:r>
      <w:r w:rsidR="00FD134D">
        <w:rPr>
          <w:rFonts w:ascii="Times New Roman" w:eastAsia="SimSun" w:hAnsi="Times New Roman" w:cs="Times New Roman"/>
          <w:bCs/>
          <w:sz w:val="24"/>
          <w:szCs w:val="24"/>
          <w:lang w:val="en-GB" w:eastAsia="en-US"/>
        </w:rPr>
        <w:t>carried out at the TIK Centre</w:t>
      </w:r>
      <w:r w:rsidR="00127C65">
        <w:rPr>
          <w:rFonts w:ascii="Times New Roman" w:eastAsia="SimSun" w:hAnsi="Times New Roman" w:cs="Times New Roman"/>
          <w:bCs/>
          <w:sz w:val="24"/>
          <w:szCs w:val="24"/>
          <w:lang w:val="en-GB" w:eastAsia="en-US"/>
        </w:rPr>
        <w:t>.</w:t>
      </w:r>
    </w:p>
    <w:p w:rsidR="00CF7207" w:rsidRDefault="00CF7207"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Cs/>
          <w:sz w:val="24"/>
          <w:szCs w:val="24"/>
          <w:lang w:val="en-GB" w:eastAsia="en-US"/>
        </w:rPr>
      </w:pPr>
    </w:p>
    <w:p w:rsidR="00515627" w:rsidRDefault="00515627"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Cs/>
          <w:sz w:val="24"/>
          <w:szCs w:val="24"/>
          <w:lang w:val="en-GB" w:eastAsia="en-US"/>
        </w:rPr>
      </w:pPr>
    </w:p>
    <w:p w:rsidR="00CF7207" w:rsidRPr="00CF7207" w:rsidRDefault="00CF7207"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Cs/>
          <w:sz w:val="24"/>
          <w:szCs w:val="24"/>
          <w:lang w:val="en-GB" w:eastAsia="en-US"/>
        </w:rPr>
      </w:pPr>
    </w:p>
    <w:p w:rsidR="007102FE" w:rsidRPr="00180A0B" w:rsidRDefault="007102FE"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color w:val="FF0000"/>
          <w:sz w:val="28"/>
          <w:szCs w:val="28"/>
          <w:lang w:val="en-GB" w:eastAsia="en-US"/>
        </w:rPr>
      </w:pPr>
      <w:r w:rsidRPr="007102FE">
        <w:rPr>
          <w:rFonts w:ascii="Times New Roman" w:eastAsia="SimSun" w:hAnsi="Times New Roman" w:cs="Times New Roman"/>
          <w:b/>
          <w:bCs/>
          <w:sz w:val="28"/>
          <w:szCs w:val="28"/>
          <w:lang w:val="en-GB" w:eastAsia="en-US"/>
        </w:rPr>
        <w:t xml:space="preserve">Employment </w:t>
      </w:r>
    </w:p>
    <w:p w:rsidR="00180A0B" w:rsidRPr="007102FE" w:rsidRDefault="00180A0B"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sz w:val="24"/>
          <w:szCs w:val="24"/>
          <w:lang w:val="en-GB" w:eastAsia="en-US"/>
        </w:rPr>
      </w:pPr>
    </w:p>
    <w:p w:rsidR="007102FE" w:rsidRPr="0008038A" w:rsidRDefault="007102FE" w:rsidP="007102FE">
      <w:pPr>
        <w:numPr>
          <w:ilvl w:val="0"/>
          <w:numId w:val="4"/>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Please describe plans for recruitment within the research discipline.</w:t>
      </w:r>
    </w:p>
    <w:p w:rsidR="00180A0B" w:rsidRDefault="00180A0B" w:rsidP="0008038A">
      <w:pPr>
        <w:spacing w:after="0" w:line="240" w:lineRule="auto"/>
        <w:contextualSpacing/>
        <w:jc w:val="both"/>
        <w:rPr>
          <w:rFonts w:ascii="Times New Roman" w:eastAsia="Calibri" w:hAnsi="Times New Roman" w:cs="Times New Roman"/>
          <w:sz w:val="24"/>
          <w:szCs w:val="24"/>
          <w:lang w:val="en-GB" w:eastAsia="en-US"/>
        </w:rPr>
      </w:pPr>
    </w:p>
    <w:p w:rsidR="006542C7" w:rsidRDefault="006542C7" w:rsidP="0008038A">
      <w:pPr>
        <w:spacing w:after="0" w:line="240" w:lineRule="auto"/>
        <w:contextualSpacing/>
        <w:jc w:val="both"/>
        <w:rPr>
          <w:rFonts w:ascii="Times New Roman" w:eastAsia="Calibri" w:hAnsi="Times New Roman" w:cs="Times New Roman"/>
          <w:sz w:val="24"/>
          <w:szCs w:val="24"/>
          <w:lang w:val="en-GB" w:eastAsia="en-US"/>
        </w:rPr>
      </w:pPr>
      <w:r w:rsidRPr="006542C7">
        <w:rPr>
          <w:rFonts w:ascii="Times New Roman" w:eastAsia="Calibri" w:hAnsi="Times New Roman" w:cs="Times New Roman"/>
          <w:sz w:val="24"/>
          <w:szCs w:val="24"/>
          <w:lang w:val="en-GB" w:eastAsia="en-US"/>
        </w:rPr>
        <w:t xml:space="preserve">During the last five years, </w:t>
      </w:r>
      <w:r w:rsidR="00875D8C">
        <w:rPr>
          <w:rFonts w:ascii="Times New Roman" w:eastAsia="Calibri" w:hAnsi="Times New Roman" w:cs="Times New Roman"/>
          <w:sz w:val="24"/>
          <w:szCs w:val="24"/>
          <w:lang w:val="en-GB" w:eastAsia="en-US"/>
        </w:rPr>
        <w:t>TIK’s staff in innovation studies</w:t>
      </w:r>
      <w:r w:rsidRPr="006542C7">
        <w:rPr>
          <w:rFonts w:ascii="Times New Roman" w:eastAsia="Calibri" w:hAnsi="Times New Roman" w:cs="Times New Roman"/>
          <w:sz w:val="24"/>
          <w:szCs w:val="24"/>
          <w:lang w:val="en-GB" w:eastAsia="en-US"/>
        </w:rPr>
        <w:t xml:space="preserve"> has expanded </w:t>
      </w:r>
      <w:r w:rsidR="00030843">
        <w:rPr>
          <w:rFonts w:ascii="Times New Roman" w:eastAsia="Calibri" w:hAnsi="Times New Roman" w:cs="Times New Roman"/>
          <w:sz w:val="24"/>
          <w:szCs w:val="24"/>
          <w:lang w:val="en-GB" w:eastAsia="en-US"/>
        </w:rPr>
        <w:t xml:space="preserve">considerably, particularly </w:t>
      </w:r>
      <w:r w:rsidRPr="006542C7">
        <w:rPr>
          <w:rFonts w:ascii="Times New Roman" w:eastAsia="Calibri" w:hAnsi="Times New Roman" w:cs="Times New Roman"/>
          <w:sz w:val="24"/>
          <w:szCs w:val="24"/>
          <w:lang w:val="en-GB" w:eastAsia="en-US"/>
        </w:rPr>
        <w:t xml:space="preserve">through a </w:t>
      </w:r>
      <w:r w:rsidR="00030843">
        <w:rPr>
          <w:rFonts w:ascii="Times New Roman" w:eastAsia="Calibri" w:hAnsi="Times New Roman" w:cs="Times New Roman"/>
          <w:sz w:val="24"/>
          <w:szCs w:val="24"/>
          <w:lang w:val="en-GB" w:eastAsia="en-US"/>
        </w:rPr>
        <w:t>large number</w:t>
      </w:r>
      <w:r w:rsidRPr="006542C7">
        <w:rPr>
          <w:rFonts w:ascii="Times New Roman" w:eastAsia="Calibri" w:hAnsi="Times New Roman" w:cs="Times New Roman"/>
          <w:sz w:val="24"/>
          <w:szCs w:val="24"/>
          <w:lang w:val="en-GB" w:eastAsia="en-US"/>
        </w:rPr>
        <w:t xml:space="preserve"> of </w:t>
      </w:r>
      <w:r w:rsidR="00030843">
        <w:rPr>
          <w:rFonts w:ascii="Times New Roman" w:eastAsia="Calibri" w:hAnsi="Times New Roman" w:cs="Times New Roman"/>
          <w:sz w:val="24"/>
          <w:szCs w:val="24"/>
          <w:lang w:val="en-GB" w:eastAsia="en-US"/>
        </w:rPr>
        <w:t xml:space="preserve">new </w:t>
      </w:r>
      <w:r w:rsidRPr="006542C7">
        <w:rPr>
          <w:rFonts w:ascii="Times New Roman" w:eastAsia="Calibri" w:hAnsi="Times New Roman" w:cs="Times New Roman"/>
          <w:sz w:val="24"/>
          <w:szCs w:val="24"/>
          <w:lang w:val="en-GB" w:eastAsia="en-US"/>
        </w:rPr>
        <w:t>external</w:t>
      </w:r>
      <w:r w:rsidR="00030843">
        <w:rPr>
          <w:rFonts w:ascii="Times New Roman" w:eastAsia="Calibri" w:hAnsi="Times New Roman" w:cs="Times New Roman"/>
          <w:sz w:val="24"/>
          <w:szCs w:val="24"/>
          <w:lang w:val="en-GB" w:eastAsia="en-US"/>
        </w:rPr>
        <w:t>ly funded</w:t>
      </w:r>
      <w:r w:rsidRPr="006542C7">
        <w:rPr>
          <w:rFonts w:ascii="Times New Roman" w:eastAsia="Calibri" w:hAnsi="Times New Roman" w:cs="Times New Roman"/>
          <w:sz w:val="24"/>
          <w:szCs w:val="24"/>
          <w:lang w:val="en-GB" w:eastAsia="en-US"/>
        </w:rPr>
        <w:t xml:space="preserve"> research projects. </w:t>
      </w:r>
      <w:r w:rsidR="00875D8C">
        <w:rPr>
          <w:rFonts w:ascii="Times New Roman" w:eastAsia="Calibri" w:hAnsi="Times New Roman" w:cs="Times New Roman"/>
          <w:sz w:val="24"/>
          <w:szCs w:val="24"/>
          <w:lang w:val="en-GB" w:eastAsia="en-US"/>
        </w:rPr>
        <w:t>At present, the staff consists of</w:t>
      </w:r>
      <w:r w:rsidRPr="006542C7">
        <w:rPr>
          <w:rFonts w:ascii="Times New Roman" w:eastAsia="Calibri" w:hAnsi="Times New Roman" w:cs="Times New Roman"/>
          <w:sz w:val="24"/>
          <w:szCs w:val="24"/>
          <w:lang w:val="en-GB" w:eastAsia="en-US"/>
        </w:rPr>
        <w:t xml:space="preserve"> </w:t>
      </w:r>
      <w:r w:rsidR="00163925">
        <w:rPr>
          <w:rFonts w:ascii="Times New Roman" w:eastAsia="Calibri" w:hAnsi="Times New Roman" w:cs="Times New Roman"/>
          <w:sz w:val="24"/>
          <w:szCs w:val="24"/>
          <w:lang w:val="en-GB" w:eastAsia="en-US"/>
        </w:rPr>
        <w:t xml:space="preserve">nearly 30 researchers: </w:t>
      </w:r>
      <w:r w:rsidR="00875D8C">
        <w:rPr>
          <w:rFonts w:ascii="Times New Roman" w:eastAsia="Calibri" w:hAnsi="Times New Roman" w:cs="Times New Roman"/>
          <w:sz w:val="24"/>
          <w:szCs w:val="24"/>
          <w:lang w:val="en-GB" w:eastAsia="en-US"/>
        </w:rPr>
        <w:t xml:space="preserve">TIK’s Director, </w:t>
      </w:r>
      <w:r w:rsidRPr="006542C7">
        <w:rPr>
          <w:rFonts w:ascii="Times New Roman" w:eastAsia="Calibri" w:hAnsi="Times New Roman" w:cs="Times New Roman"/>
          <w:sz w:val="24"/>
          <w:szCs w:val="24"/>
          <w:lang w:val="en-GB" w:eastAsia="en-US"/>
        </w:rPr>
        <w:t>four tenured staff</w:t>
      </w:r>
      <w:r w:rsidR="00875D8C">
        <w:rPr>
          <w:rFonts w:ascii="Times New Roman" w:eastAsia="Calibri" w:hAnsi="Times New Roman" w:cs="Times New Roman"/>
          <w:sz w:val="24"/>
          <w:szCs w:val="24"/>
          <w:lang w:val="en-GB" w:eastAsia="en-US"/>
        </w:rPr>
        <w:t xml:space="preserve"> (Professor level</w:t>
      </w:r>
      <w:r w:rsidR="00163925">
        <w:rPr>
          <w:rFonts w:ascii="Times New Roman" w:eastAsia="Calibri" w:hAnsi="Times New Roman" w:cs="Times New Roman"/>
          <w:sz w:val="24"/>
          <w:szCs w:val="24"/>
          <w:lang w:val="en-GB" w:eastAsia="en-US"/>
        </w:rPr>
        <w:t xml:space="preserve">; </w:t>
      </w:r>
      <w:r w:rsidRPr="006542C7">
        <w:rPr>
          <w:rFonts w:ascii="Times New Roman" w:eastAsia="Calibri" w:hAnsi="Times New Roman" w:cs="Times New Roman"/>
          <w:sz w:val="24"/>
          <w:szCs w:val="24"/>
          <w:lang w:val="en-GB" w:eastAsia="en-US"/>
        </w:rPr>
        <w:t>two of which are close to the retirement age</w:t>
      </w:r>
      <w:r w:rsidR="00163925">
        <w:rPr>
          <w:rFonts w:ascii="Times New Roman" w:eastAsia="Calibri" w:hAnsi="Times New Roman" w:cs="Times New Roman"/>
          <w:sz w:val="24"/>
          <w:szCs w:val="24"/>
          <w:lang w:val="en-GB" w:eastAsia="en-US"/>
        </w:rPr>
        <w:t>)</w:t>
      </w:r>
      <w:r w:rsidR="00875D8C">
        <w:rPr>
          <w:rFonts w:ascii="Times New Roman" w:eastAsia="Calibri" w:hAnsi="Times New Roman" w:cs="Times New Roman"/>
          <w:sz w:val="24"/>
          <w:szCs w:val="24"/>
          <w:lang w:val="en-GB" w:eastAsia="en-US"/>
        </w:rPr>
        <w:t>,</w:t>
      </w:r>
      <w:r w:rsidRPr="006542C7">
        <w:rPr>
          <w:rFonts w:ascii="Times New Roman" w:eastAsia="Calibri" w:hAnsi="Times New Roman" w:cs="Times New Roman"/>
          <w:sz w:val="24"/>
          <w:szCs w:val="24"/>
          <w:lang w:val="en-GB" w:eastAsia="en-US"/>
        </w:rPr>
        <w:t xml:space="preserve"> two externally funded </w:t>
      </w:r>
      <w:r w:rsidR="00875D8C">
        <w:rPr>
          <w:rFonts w:ascii="Times New Roman" w:eastAsia="Calibri" w:hAnsi="Times New Roman" w:cs="Times New Roman"/>
          <w:sz w:val="24"/>
          <w:szCs w:val="24"/>
          <w:lang w:val="en-GB" w:eastAsia="en-US"/>
        </w:rPr>
        <w:t xml:space="preserve">senior </w:t>
      </w:r>
      <w:r w:rsidRPr="006542C7">
        <w:rPr>
          <w:rFonts w:ascii="Times New Roman" w:eastAsia="Calibri" w:hAnsi="Times New Roman" w:cs="Times New Roman"/>
          <w:sz w:val="24"/>
          <w:szCs w:val="24"/>
          <w:lang w:val="en-GB" w:eastAsia="en-US"/>
        </w:rPr>
        <w:t>researchers, one adjunct Professor, five pos</w:t>
      </w:r>
      <w:r w:rsidR="00875D8C">
        <w:rPr>
          <w:rFonts w:ascii="Times New Roman" w:eastAsia="Calibri" w:hAnsi="Times New Roman" w:cs="Times New Roman"/>
          <w:sz w:val="24"/>
          <w:szCs w:val="24"/>
          <w:lang w:val="en-GB" w:eastAsia="en-US"/>
        </w:rPr>
        <w:t>tdocs and about 15 PhD students</w:t>
      </w:r>
      <w:r w:rsidRPr="006542C7">
        <w:rPr>
          <w:rFonts w:ascii="Times New Roman" w:eastAsia="Calibri" w:hAnsi="Times New Roman" w:cs="Times New Roman"/>
          <w:sz w:val="24"/>
          <w:szCs w:val="24"/>
          <w:lang w:val="en-GB" w:eastAsia="en-US"/>
        </w:rPr>
        <w:t xml:space="preserve">. The group </w:t>
      </w:r>
      <w:r w:rsidR="00163925">
        <w:rPr>
          <w:rFonts w:ascii="Times New Roman" w:eastAsia="Calibri" w:hAnsi="Times New Roman" w:cs="Times New Roman"/>
          <w:sz w:val="24"/>
          <w:szCs w:val="24"/>
          <w:lang w:val="en-GB" w:eastAsia="en-US"/>
        </w:rPr>
        <w:t>is one of the</w:t>
      </w:r>
      <w:r w:rsidRPr="006542C7">
        <w:rPr>
          <w:rFonts w:ascii="Times New Roman" w:eastAsia="Calibri" w:hAnsi="Times New Roman" w:cs="Times New Roman"/>
          <w:sz w:val="24"/>
          <w:szCs w:val="24"/>
          <w:lang w:val="en-GB" w:eastAsia="en-US"/>
        </w:rPr>
        <w:t xml:space="preserve"> main hub</w:t>
      </w:r>
      <w:r w:rsidR="00163925">
        <w:rPr>
          <w:rFonts w:ascii="Times New Roman" w:eastAsia="Calibri" w:hAnsi="Times New Roman" w:cs="Times New Roman"/>
          <w:sz w:val="24"/>
          <w:szCs w:val="24"/>
          <w:lang w:val="en-GB" w:eastAsia="en-US"/>
        </w:rPr>
        <w:t>s</w:t>
      </w:r>
      <w:r w:rsidRPr="006542C7">
        <w:rPr>
          <w:rFonts w:ascii="Times New Roman" w:eastAsia="Calibri" w:hAnsi="Times New Roman" w:cs="Times New Roman"/>
          <w:sz w:val="24"/>
          <w:szCs w:val="24"/>
          <w:lang w:val="en-GB" w:eastAsia="en-US"/>
        </w:rPr>
        <w:t xml:space="preserve"> for in</w:t>
      </w:r>
      <w:r w:rsidR="00163925">
        <w:rPr>
          <w:rFonts w:ascii="Times New Roman" w:eastAsia="Calibri" w:hAnsi="Times New Roman" w:cs="Times New Roman"/>
          <w:sz w:val="24"/>
          <w:szCs w:val="24"/>
          <w:lang w:val="en-GB" w:eastAsia="en-US"/>
        </w:rPr>
        <w:t>novation studies in the country, and it</w:t>
      </w:r>
      <w:r w:rsidRPr="006542C7">
        <w:rPr>
          <w:rFonts w:ascii="Times New Roman" w:eastAsia="Calibri" w:hAnsi="Times New Roman" w:cs="Times New Roman"/>
          <w:sz w:val="24"/>
          <w:szCs w:val="24"/>
          <w:lang w:val="en-GB" w:eastAsia="en-US"/>
        </w:rPr>
        <w:t xml:space="preserve"> has a strong scientific standing and societal impact. </w:t>
      </w:r>
    </w:p>
    <w:p w:rsidR="00553AC6" w:rsidRDefault="00553AC6" w:rsidP="0008038A">
      <w:pPr>
        <w:spacing w:after="0" w:line="240" w:lineRule="auto"/>
        <w:contextualSpacing/>
        <w:jc w:val="both"/>
        <w:rPr>
          <w:rFonts w:ascii="Times New Roman" w:eastAsia="Calibri" w:hAnsi="Times New Roman" w:cs="Times New Roman"/>
          <w:sz w:val="24"/>
          <w:szCs w:val="24"/>
          <w:lang w:val="en-GB" w:eastAsia="en-US"/>
        </w:rPr>
      </w:pPr>
    </w:p>
    <w:p w:rsidR="00553AC6" w:rsidRDefault="006542C7" w:rsidP="00553AC6">
      <w:pPr>
        <w:spacing w:after="0" w:line="240" w:lineRule="auto"/>
        <w:contextualSpacing/>
        <w:jc w:val="both"/>
        <w:rPr>
          <w:rFonts w:ascii="Times New Roman" w:eastAsia="Calibri" w:hAnsi="Times New Roman" w:cs="Times New Roman"/>
          <w:sz w:val="24"/>
          <w:szCs w:val="24"/>
          <w:lang w:val="en-GB" w:eastAsia="en-US"/>
        </w:rPr>
      </w:pPr>
      <w:r w:rsidRPr="006542C7">
        <w:rPr>
          <w:rFonts w:ascii="Times New Roman" w:eastAsia="Calibri" w:hAnsi="Times New Roman" w:cs="Times New Roman"/>
          <w:sz w:val="24"/>
          <w:szCs w:val="24"/>
          <w:lang w:val="en-GB" w:eastAsia="en-US"/>
        </w:rPr>
        <w:t xml:space="preserve">The group’s large number of younger researchers </w:t>
      </w:r>
      <w:r w:rsidR="004C13EA">
        <w:rPr>
          <w:rFonts w:ascii="Times New Roman" w:eastAsia="Calibri" w:hAnsi="Times New Roman" w:cs="Times New Roman"/>
          <w:sz w:val="24"/>
          <w:szCs w:val="24"/>
          <w:lang w:val="en-GB" w:eastAsia="en-US"/>
        </w:rPr>
        <w:t xml:space="preserve">(PhD, postdoc, and </w:t>
      </w:r>
      <w:r w:rsidR="00553AC6">
        <w:rPr>
          <w:rFonts w:ascii="Times New Roman" w:eastAsia="Calibri" w:hAnsi="Times New Roman" w:cs="Times New Roman"/>
          <w:sz w:val="24"/>
          <w:szCs w:val="24"/>
          <w:lang w:val="en-GB" w:eastAsia="en-US"/>
        </w:rPr>
        <w:t xml:space="preserve">non-tenured </w:t>
      </w:r>
      <w:r w:rsidR="004C13EA">
        <w:rPr>
          <w:rFonts w:ascii="Times New Roman" w:eastAsia="Calibri" w:hAnsi="Times New Roman" w:cs="Times New Roman"/>
          <w:sz w:val="24"/>
          <w:szCs w:val="24"/>
          <w:lang w:val="en-GB" w:eastAsia="en-US"/>
        </w:rPr>
        <w:t xml:space="preserve">researchers) </w:t>
      </w:r>
      <w:r w:rsidRPr="006542C7">
        <w:rPr>
          <w:rFonts w:ascii="Times New Roman" w:eastAsia="Calibri" w:hAnsi="Times New Roman" w:cs="Times New Roman"/>
          <w:sz w:val="24"/>
          <w:szCs w:val="24"/>
          <w:lang w:val="en-GB" w:eastAsia="en-US"/>
        </w:rPr>
        <w:t xml:space="preserve">are mostly funded through </w:t>
      </w:r>
      <w:r w:rsidR="00553AC6">
        <w:rPr>
          <w:rFonts w:ascii="Times New Roman" w:eastAsia="Calibri" w:hAnsi="Times New Roman" w:cs="Times New Roman"/>
          <w:sz w:val="24"/>
          <w:szCs w:val="24"/>
          <w:lang w:val="en-GB" w:eastAsia="en-US"/>
        </w:rPr>
        <w:t xml:space="preserve">externally funded </w:t>
      </w:r>
      <w:r w:rsidRPr="006542C7">
        <w:rPr>
          <w:rFonts w:ascii="Times New Roman" w:eastAsia="Calibri" w:hAnsi="Times New Roman" w:cs="Times New Roman"/>
          <w:sz w:val="24"/>
          <w:szCs w:val="24"/>
          <w:lang w:val="en-GB" w:eastAsia="en-US"/>
        </w:rPr>
        <w:t xml:space="preserve">research projects. These younger researchers represent an important basis for TIK and other leading research units to recruit </w:t>
      </w:r>
      <w:r w:rsidR="004C13EA">
        <w:rPr>
          <w:rFonts w:ascii="Times New Roman" w:eastAsia="Calibri" w:hAnsi="Times New Roman" w:cs="Times New Roman"/>
          <w:sz w:val="24"/>
          <w:szCs w:val="24"/>
          <w:lang w:val="en-GB" w:eastAsia="en-US"/>
        </w:rPr>
        <w:t>new senior academic researchers in the future</w:t>
      </w:r>
      <w:r w:rsidRPr="006542C7">
        <w:rPr>
          <w:rFonts w:ascii="Times New Roman" w:eastAsia="Calibri" w:hAnsi="Times New Roman" w:cs="Times New Roman"/>
          <w:sz w:val="24"/>
          <w:szCs w:val="24"/>
          <w:lang w:val="en-GB" w:eastAsia="en-US"/>
        </w:rPr>
        <w:t>.</w:t>
      </w:r>
      <w:r w:rsidR="00553AC6" w:rsidRPr="00553AC6">
        <w:rPr>
          <w:rFonts w:ascii="Times New Roman" w:eastAsia="Calibri" w:hAnsi="Times New Roman" w:cs="Times New Roman"/>
          <w:sz w:val="24"/>
          <w:szCs w:val="24"/>
          <w:lang w:val="en-GB" w:eastAsia="en-US"/>
        </w:rPr>
        <w:t xml:space="preserve"> </w:t>
      </w:r>
      <w:r w:rsidR="00553AC6">
        <w:rPr>
          <w:rFonts w:ascii="Times New Roman" w:eastAsia="Calibri" w:hAnsi="Times New Roman" w:cs="Times New Roman"/>
          <w:sz w:val="24"/>
          <w:szCs w:val="24"/>
          <w:lang w:val="en-GB" w:eastAsia="en-US"/>
        </w:rPr>
        <w:t xml:space="preserve">Due to a large number of new externally funded projects acquired in the last </w:t>
      </w:r>
      <w:r w:rsidR="000D3F8B">
        <w:rPr>
          <w:rFonts w:ascii="Times New Roman" w:eastAsia="Calibri" w:hAnsi="Times New Roman" w:cs="Times New Roman"/>
          <w:sz w:val="24"/>
          <w:szCs w:val="24"/>
          <w:lang w:val="en-GB" w:eastAsia="en-US"/>
        </w:rPr>
        <w:t>five</w:t>
      </w:r>
      <w:r w:rsidR="00553AC6">
        <w:rPr>
          <w:rFonts w:ascii="Times New Roman" w:eastAsia="Calibri" w:hAnsi="Times New Roman" w:cs="Times New Roman"/>
          <w:sz w:val="24"/>
          <w:szCs w:val="24"/>
          <w:lang w:val="en-GB" w:eastAsia="en-US"/>
        </w:rPr>
        <w:t xml:space="preserve"> years, the number of younger researchers at TIK has increased substantially. </w:t>
      </w:r>
    </w:p>
    <w:p w:rsidR="006542C7" w:rsidRDefault="006542C7" w:rsidP="0008038A">
      <w:pPr>
        <w:spacing w:after="0" w:line="240" w:lineRule="auto"/>
        <w:contextualSpacing/>
        <w:jc w:val="both"/>
        <w:rPr>
          <w:rFonts w:ascii="Times New Roman" w:eastAsia="Calibri" w:hAnsi="Times New Roman" w:cs="Times New Roman"/>
          <w:sz w:val="24"/>
          <w:szCs w:val="24"/>
          <w:lang w:val="en-GB" w:eastAsia="en-US"/>
        </w:rPr>
      </w:pPr>
    </w:p>
    <w:p w:rsidR="000D3F8B" w:rsidRDefault="000D3F8B"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The recent growth of junior staff at TIK is a very positive development.</w:t>
      </w:r>
      <w:r w:rsidRPr="000D3F8B">
        <w:rPr>
          <w:rFonts w:ascii="Times New Roman" w:eastAsia="Calibri" w:hAnsi="Times New Roman" w:cs="Times New Roman"/>
          <w:sz w:val="24"/>
          <w:szCs w:val="24"/>
          <w:lang w:val="en-GB" w:eastAsia="en-US"/>
        </w:rPr>
        <w:t xml:space="preserve"> </w:t>
      </w:r>
      <w:r w:rsidRPr="006542C7">
        <w:rPr>
          <w:rFonts w:ascii="Times New Roman" w:eastAsia="Calibri" w:hAnsi="Times New Roman" w:cs="Times New Roman"/>
          <w:sz w:val="24"/>
          <w:szCs w:val="24"/>
          <w:lang w:val="en-GB" w:eastAsia="en-US"/>
        </w:rPr>
        <w:t>In addition to expand</w:t>
      </w:r>
      <w:r>
        <w:rPr>
          <w:rFonts w:ascii="Times New Roman" w:eastAsia="Calibri" w:hAnsi="Times New Roman" w:cs="Times New Roman"/>
          <w:sz w:val="24"/>
          <w:szCs w:val="24"/>
          <w:lang w:val="en-GB" w:eastAsia="en-US"/>
        </w:rPr>
        <w:t>ing the Centre’s</w:t>
      </w:r>
      <w:r w:rsidRPr="006542C7">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size</w:t>
      </w:r>
      <w:r w:rsidRPr="006542C7">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TIK’s innovation studies research</w:t>
      </w:r>
      <w:r w:rsidRPr="006542C7">
        <w:rPr>
          <w:rFonts w:ascii="Times New Roman" w:eastAsia="Calibri" w:hAnsi="Times New Roman" w:cs="Times New Roman"/>
          <w:sz w:val="24"/>
          <w:szCs w:val="24"/>
          <w:lang w:val="en-GB" w:eastAsia="en-US"/>
        </w:rPr>
        <w:t xml:space="preserve"> has broadened the thematic scope of its research activities in recent years (see </w:t>
      </w:r>
      <w:r>
        <w:rPr>
          <w:rFonts w:ascii="Times New Roman" w:eastAsia="Calibri" w:hAnsi="Times New Roman" w:cs="Times New Roman"/>
          <w:sz w:val="24"/>
          <w:szCs w:val="24"/>
          <w:lang w:val="en-GB" w:eastAsia="en-US"/>
        </w:rPr>
        <w:t xml:space="preserve">section on “scientific quality” below). Innovation studies staff has also become more international. At present, about 30% of the staff is accounted for by foreign researchers. </w:t>
      </w:r>
      <w:r w:rsidR="006542C7" w:rsidRPr="006542C7">
        <w:rPr>
          <w:rFonts w:ascii="Times New Roman" w:eastAsia="Calibri" w:hAnsi="Times New Roman" w:cs="Times New Roman"/>
          <w:sz w:val="24"/>
          <w:szCs w:val="24"/>
          <w:lang w:val="en-GB" w:eastAsia="en-US"/>
        </w:rPr>
        <w:t xml:space="preserve">All </w:t>
      </w:r>
      <w:r>
        <w:rPr>
          <w:rFonts w:ascii="Times New Roman" w:eastAsia="Calibri" w:hAnsi="Times New Roman" w:cs="Times New Roman"/>
          <w:sz w:val="24"/>
          <w:szCs w:val="24"/>
          <w:lang w:val="en-GB" w:eastAsia="en-US"/>
        </w:rPr>
        <w:t xml:space="preserve">new </w:t>
      </w:r>
      <w:r w:rsidR="006542C7" w:rsidRPr="006542C7">
        <w:rPr>
          <w:rFonts w:ascii="Times New Roman" w:eastAsia="Calibri" w:hAnsi="Times New Roman" w:cs="Times New Roman"/>
          <w:sz w:val="24"/>
          <w:szCs w:val="24"/>
          <w:lang w:val="en-GB" w:eastAsia="en-US"/>
        </w:rPr>
        <w:t xml:space="preserve">positions are announced internationally. </w:t>
      </w:r>
    </w:p>
    <w:p w:rsidR="000D3F8B" w:rsidRDefault="000D3F8B" w:rsidP="0008038A">
      <w:pPr>
        <w:spacing w:after="0" w:line="240" w:lineRule="auto"/>
        <w:contextualSpacing/>
        <w:jc w:val="both"/>
        <w:rPr>
          <w:rFonts w:ascii="Times New Roman" w:eastAsia="Calibri" w:hAnsi="Times New Roman" w:cs="Times New Roman"/>
          <w:sz w:val="24"/>
          <w:szCs w:val="24"/>
          <w:lang w:val="en-GB" w:eastAsia="en-US"/>
        </w:rPr>
      </w:pPr>
    </w:p>
    <w:p w:rsidR="000D3F8B" w:rsidRDefault="000D3F8B"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However, the recent expansion of young researchers at TIK has not been followed by an expansion of senior-level tenured positions. These are internally funded through </w:t>
      </w:r>
      <w:r w:rsidR="00C47ED4">
        <w:rPr>
          <w:rFonts w:ascii="Times New Roman" w:eastAsia="Calibri" w:hAnsi="Times New Roman" w:cs="Times New Roman"/>
          <w:sz w:val="24"/>
          <w:szCs w:val="24"/>
          <w:lang w:val="en-GB" w:eastAsia="en-US"/>
        </w:rPr>
        <w:t>the Faculty</w:t>
      </w:r>
      <w:r>
        <w:rPr>
          <w:rFonts w:ascii="Times New Roman" w:eastAsia="Calibri" w:hAnsi="Times New Roman" w:cs="Times New Roman"/>
          <w:sz w:val="24"/>
          <w:szCs w:val="24"/>
          <w:lang w:val="en-GB" w:eastAsia="en-US"/>
        </w:rPr>
        <w:t xml:space="preserve">’s core grants, and these internal funding is not sufficient to finance new positions at the Associate </w:t>
      </w:r>
      <w:r>
        <w:rPr>
          <w:rFonts w:ascii="Times New Roman" w:eastAsia="Calibri" w:hAnsi="Times New Roman" w:cs="Times New Roman"/>
          <w:sz w:val="24"/>
          <w:szCs w:val="24"/>
          <w:lang w:val="en-GB" w:eastAsia="en-US"/>
        </w:rPr>
        <w:lastRenderedPageBreak/>
        <w:t xml:space="preserve">Professor (or Professor) level. As noted above, TIK’s innovation studies staff has at present only four tenured positions (Professor level), and there are no possibilities to </w:t>
      </w:r>
      <w:r w:rsidR="00C47ED4">
        <w:rPr>
          <w:rFonts w:ascii="Times New Roman" w:eastAsia="Calibri" w:hAnsi="Times New Roman" w:cs="Times New Roman"/>
          <w:sz w:val="24"/>
          <w:szCs w:val="24"/>
          <w:lang w:val="en-GB" w:eastAsia="en-US"/>
        </w:rPr>
        <w:t>increase</w:t>
      </w:r>
      <w:r>
        <w:rPr>
          <w:rFonts w:ascii="Times New Roman" w:eastAsia="Calibri" w:hAnsi="Times New Roman" w:cs="Times New Roman"/>
          <w:sz w:val="24"/>
          <w:szCs w:val="24"/>
          <w:lang w:val="en-GB" w:eastAsia="en-US"/>
        </w:rPr>
        <w:t xml:space="preserve"> this </w:t>
      </w:r>
      <w:r w:rsidR="00C47ED4">
        <w:rPr>
          <w:rFonts w:ascii="Times New Roman" w:eastAsia="Calibri" w:hAnsi="Times New Roman" w:cs="Times New Roman"/>
          <w:sz w:val="24"/>
          <w:szCs w:val="24"/>
          <w:lang w:val="en-GB" w:eastAsia="en-US"/>
        </w:rPr>
        <w:t xml:space="preserve">number </w:t>
      </w:r>
      <w:r w:rsidR="00C07A12">
        <w:rPr>
          <w:rFonts w:ascii="Times New Roman" w:eastAsia="Calibri" w:hAnsi="Times New Roman" w:cs="Times New Roman"/>
          <w:sz w:val="24"/>
          <w:szCs w:val="24"/>
          <w:lang w:val="en-GB" w:eastAsia="en-US"/>
        </w:rPr>
        <w:t xml:space="preserve">due to limited core grants from </w:t>
      </w:r>
      <w:r w:rsidR="00C47ED4">
        <w:rPr>
          <w:rFonts w:ascii="Times New Roman" w:eastAsia="Calibri" w:hAnsi="Times New Roman" w:cs="Times New Roman"/>
          <w:sz w:val="24"/>
          <w:szCs w:val="24"/>
          <w:lang w:val="en-GB" w:eastAsia="en-US"/>
        </w:rPr>
        <w:t>the Faculty</w:t>
      </w:r>
      <w:r w:rsidR="00C07A12">
        <w:rPr>
          <w:rFonts w:ascii="Times New Roman" w:eastAsia="Calibri" w:hAnsi="Times New Roman" w:cs="Times New Roman"/>
          <w:sz w:val="24"/>
          <w:szCs w:val="24"/>
          <w:lang w:val="en-GB" w:eastAsia="en-US"/>
        </w:rPr>
        <w:t xml:space="preserve">. </w:t>
      </w:r>
    </w:p>
    <w:p w:rsidR="00C07A12" w:rsidRDefault="00C07A12" w:rsidP="0008038A">
      <w:pPr>
        <w:spacing w:after="0" w:line="240" w:lineRule="auto"/>
        <w:contextualSpacing/>
        <w:jc w:val="both"/>
        <w:rPr>
          <w:rFonts w:ascii="Times New Roman" w:eastAsia="Calibri" w:hAnsi="Times New Roman" w:cs="Times New Roman"/>
          <w:sz w:val="24"/>
          <w:szCs w:val="24"/>
          <w:lang w:val="en-GB" w:eastAsia="en-US"/>
        </w:rPr>
      </w:pPr>
    </w:p>
    <w:p w:rsidR="00C07A12" w:rsidRDefault="00C07A12"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In summary, TIK’s staff carrying out economic-administrative research in innovation studies does currently present a mismatch: on the one hand, there is an increasing number of junior researchers (in need of supervision) and of </w:t>
      </w:r>
      <w:r w:rsidR="00C47ED4">
        <w:rPr>
          <w:rFonts w:ascii="Times New Roman" w:eastAsia="Calibri" w:hAnsi="Times New Roman" w:cs="Times New Roman"/>
          <w:sz w:val="24"/>
          <w:szCs w:val="24"/>
          <w:lang w:val="en-GB" w:eastAsia="en-US"/>
        </w:rPr>
        <w:t xml:space="preserve">externally funded </w:t>
      </w:r>
      <w:r>
        <w:rPr>
          <w:rFonts w:ascii="Times New Roman" w:eastAsia="Calibri" w:hAnsi="Times New Roman" w:cs="Times New Roman"/>
          <w:sz w:val="24"/>
          <w:szCs w:val="24"/>
          <w:lang w:val="en-GB" w:eastAsia="en-US"/>
        </w:rPr>
        <w:t xml:space="preserve">research projects (that require coordination and management); on the other hand, there is </w:t>
      </w:r>
      <w:r w:rsidR="00C47ED4">
        <w:rPr>
          <w:rFonts w:ascii="Times New Roman" w:eastAsia="Calibri" w:hAnsi="Times New Roman" w:cs="Times New Roman"/>
          <w:sz w:val="24"/>
          <w:szCs w:val="24"/>
          <w:lang w:val="en-GB" w:eastAsia="en-US"/>
        </w:rPr>
        <w:t xml:space="preserve">only </w:t>
      </w:r>
      <w:r>
        <w:rPr>
          <w:rFonts w:ascii="Times New Roman" w:eastAsia="Calibri" w:hAnsi="Times New Roman" w:cs="Times New Roman"/>
          <w:sz w:val="24"/>
          <w:szCs w:val="24"/>
          <w:lang w:val="en-GB" w:eastAsia="en-US"/>
        </w:rPr>
        <w:t xml:space="preserve">a small and stable core of tenured senior researchers that can carry out </w:t>
      </w:r>
      <w:r w:rsidR="00C47ED4">
        <w:rPr>
          <w:rFonts w:ascii="Times New Roman" w:eastAsia="Calibri" w:hAnsi="Times New Roman" w:cs="Times New Roman"/>
          <w:sz w:val="24"/>
          <w:szCs w:val="24"/>
          <w:lang w:val="en-GB" w:eastAsia="en-US"/>
        </w:rPr>
        <w:t xml:space="preserve">these </w:t>
      </w:r>
      <w:r>
        <w:rPr>
          <w:rFonts w:ascii="Times New Roman" w:eastAsia="Calibri" w:hAnsi="Times New Roman" w:cs="Times New Roman"/>
          <w:sz w:val="24"/>
          <w:szCs w:val="24"/>
          <w:lang w:val="en-GB" w:eastAsia="en-US"/>
        </w:rPr>
        <w:t xml:space="preserve">supervision and coordination activities. This mismatch </w:t>
      </w:r>
      <w:r w:rsidR="004114DD">
        <w:rPr>
          <w:rFonts w:ascii="Times New Roman" w:eastAsia="Calibri" w:hAnsi="Times New Roman" w:cs="Times New Roman"/>
          <w:sz w:val="24"/>
          <w:szCs w:val="24"/>
          <w:lang w:val="en-GB" w:eastAsia="en-US"/>
        </w:rPr>
        <w:t>leads to</w:t>
      </w:r>
      <w:r>
        <w:rPr>
          <w:rFonts w:ascii="Times New Roman" w:eastAsia="Calibri" w:hAnsi="Times New Roman" w:cs="Times New Roman"/>
          <w:sz w:val="24"/>
          <w:szCs w:val="24"/>
          <w:lang w:val="en-GB" w:eastAsia="en-US"/>
        </w:rPr>
        <w:t xml:space="preserve"> a capacity constraint: TIK’s tenured staff in innovation studies does not have sufficient capacity</w:t>
      </w:r>
      <w:r w:rsidR="004114DD">
        <w:rPr>
          <w:rFonts w:ascii="Times New Roman" w:eastAsia="Calibri" w:hAnsi="Times New Roman" w:cs="Times New Roman"/>
          <w:sz w:val="24"/>
          <w:szCs w:val="24"/>
          <w:lang w:val="en-GB" w:eastAsia="en-US"/>
        </w:rPr>
        <w:t xml:space="preserve"> / time</w:t>
      </w:r>
      <w:r>
        <w:rPr>
          <w:rFonts w:ascii="Times New Roman" w:eastAsia="Calibri" w:hAnsi="Times New Roman" w:cs="Times New Roman"/>
          <w:sz w:val="24"/>
          <w:szCs w:val="24"/>
          <w:lang w:val="en-GB" w:eastAsia="en-US"/>
        </w:rPr>
        <w:t xml:space="preserve"> to carry out the activities that TIK’s increasing activity level demands for. </w:t>
      </w:r>
    </w:p>
    <w:p w:rsidR="000D3F8B" w:rsidRDefault="000D3F8B" w:rsidP="0008038A">
      <w:pPr>
        <w:spacing w:after="0" w:line="240" w:lineRule="auto"/>
        <w:contextualSpacing/>
        <w:jc w:val="both"/>
        <w:rPr>
          <w:rFonts w:ascii="Times New Roman" w:eastAsia="Calibri" w:hAnsi="Times New Roman" w:cs="Times New Roman"/>
          <w:sz w:val="24"/>
          <w:szCs w:val="24"/>
          <w:lang w:val="en-GB" w:eastAsia="en-US"/>
        </w:rPr>
      </w:pPr>
    </w:p>
    <w:p w:rsidR="0008038A" w:rsidRPr="007102FE" w:rsidRDefault="0008038A" w:rsidP="0008038A">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4"/>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 xml:space="preserve">Give an overview in Form 1 of the number of positions that have been announced within the research discipline during the past three years (2014-2016) and the number of qualified applicants (all levels).  Include to what extent researchers are recruited from other institutions in Norway or internationally. </w:t>
      </w:r>
    </w:p>
    <w:p w:rsidR="00180A0B" w:rsidRDefault="00180A0B" w:rsidP="00180A0B">
      <w:pPr>
        <w:spacing w:after="0" w:line="240" w:lineRule="auto"/>
        <w:contextualSpacing/>
        <w:jc w:val="both"/>
        <w:rPr>
          <w:rFonts w:ascii="Times New Roman" w:eastAsia="Calibri" w:hAnsi="Times New Roman" w:cs="Times New Roman"/>
          <w:sz w:val="24"/>
          <w:szCs w:val="24"/>
          <w:lang w:val="en-GB" w:eastAsia="en-US"/>
        </w:rPr>
      </w:pPr>
    </w:p>
    <w:p w:rsidR="0079412F" w:rsidRDefault="0079412F" w:rsidP="00180A0B">
      <w:pPr>
        <w:spacing w:after="0" w:line="240" w:lineRule="auto"/>
        <w:contextualSpacing/>
        <w:jc w:val="both"/>
        <w:rPr>
          <w:rFonts w:ascii="Times New Roman" w:eastAsia="Calibri" w:hAnsi="Times New Roman" w:cs="Times New Roman"/>
          <w:sz w:val="24"/>
          <w:szCs w:val="24"/>
          <w:lang w:val="en-GB" w:eastAsia="en-US"/>
        </w:rPr>
      </w:pPr>
    </w:p>
    <w:p w:rsidR="0079412F" w:rsidRPr="0079412F" w:rsidRDefault="0079412F" w:rsidP="0079412F">
      <w:pPr>
        <w:keepNext/>
        <w:keepLines/>
        <w:spacing w:after="0" w:line="240" w:lineRule="auto"/>
        <w:ind w:left="1412" w:hanging="1412"/>
        <w:outlineLvl w:val="1"/>
        <w:rPr>
          <w:rFonts w:ascii="Times New Roman" w:eastAsia="SimSun" w:hAnsi="Times New Roman" w:cs="Times New Roman"/>
          <w:b/>
          <w:bCs/>
          <w:sz w:val="24"/>
          <w:szCs w:val="24"/>
          <w:lang w:val="en-GB" w:eastAsia="nb-NO"/>
        </w:rPr>
      </w:pPr>
      <w:r w:rsidRPr="00456BF9">
        <w:rPr>
          <w:rFonts w:ascii="Times New Roman" w:eastAsia="SimSun" w:hAnsi="Times New Roman" w:cs="Times New Roman"/>
          <w:b/>
          <w:bCs/>
          <w:sz w:val="24"/>
          <w:szCs w:val="24"/>
          <w:lang w:val="en-GB" w:eastAsia="nb-NO"/>
        </w:rPr>
        <w:t xml:space="preserve">Form 1: Number of positions that have been announced during the past three year (2014-2016) and the number of </w:t>
      </w:r>
      <w:r w:rsidRPr="00456BF9">
        <w:rPr>
          <w:rFonts w:ascii="Times New Roman" w:eastAsia="SimSun" w:hAnsi="Times New Roman" w:cs="Times New Roman"/>
          <w:b/>
          <w:bCs/>
          <w:i/>
          <w:sz w:val="24"/>
          <w:szCs w:val="24"/>
          <w:lang w:val="en-GB" w:eastAsia="nb-NO"/>
        </w:rPr>
        <w:t>qualified</w:t>
      </w:r>
      <w:r w:rsidRPr="00456BF9">
        <w:rPr>
          <w:rFonts w:ascii="Times New Roman" w:eastAsia="SimSun" w:hAnsi="Times New Roman" w:cs="Times New Roman"/>
          <w:b/>
          <w:bCs/>
          <w:sz w:val="24"/>
          <w:szCs w:val="24"/>
          <w:lang w:val="en-GB" w:eastAsia="nb-NO"/>
        </w:rPr>
        <w:t xml:space="preserve"> applicants (all levels).</w:t>
      </w:r>
    </w:p>
    <w:p w:rsidR="0079412F" w:rsidRPr="00272F5D" w:rsidRDefault="0079412F" w:rsidP="0079412F">
      <w:pPr>
        <w:keepNext/>
        <w:keepLines/>
        <w:spacing w:before="200" w:after="0" w:line="240" w:lineRule="auto"/>
        <w:ind w:left="1410" w:hanging="1410"/>
        <w:outlineLvl w:val="1"/>
        <w:rPr>
          <w:rFonts w:ascii="Times New Roman" w:eastAsia="SimSun" w:hAnsi="Times New Roman" w:cs="Times New Roman"/>
          <w:b/>
          <w:bCs/>
          <w:sz w:val="24"/>
          <w:szCs w:val="24"/>
          <w:lang w:val="en-GB" w:eastAsia="nb-NO"/>
        </w:rPr>
      </w:pPr>
    </w:p>
    <w:tbl>
      <w:tblPr>
        <w:tblStyle w:val="TableGrid"/>
        <w:tblW w:w="0" w:type="auto"/>
        <w:jc w:val="center"/>
        <w:tblLook w:val="04A0" w:firstRow="1" w:lastRow="0" w:firstColumn="1" w:lastColumn="0" w:noHBand="0" w:noVBand="1"/>
      </w:tblPr>
      <w:tblGrid>
        <w:gridCol w:w="1105"/>
        <w:gridCol w:w="871"/>
        <w:gridCol w:w="990"/>
        <w:gridCol w:w="964"/>
        <w:gridCol w:w="872"/>
        <w:gridCol w:w="991"/>
        <w:gridCol w:w="964"/>
        <w:gridCol w:w="864"/>
        <w:gridCol w:w="991"/>
        <w:gridCol w:w="964"/>
      </w:tblGrid>
      <w:tr w:rsidR="00456BF9" w:rsidRPr="00456BF9" w:rsidTr="00456BF9">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c>
          <w:tcPr>
            <w:tcW w:w="943" w:type="dxa"/>
            <w:tcBorders>
              <w:top w:val="single" w:sz="4" w:space="0" w:color="auto"/>
              <w:left w:val="single" w:sz="4" w:space="0" w:color="auto"/>
              <w:bottom w:val="single" w:sz="4" w:space="0" w:color="auto"/>
              <w:right w:val="nil"/>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c>
          <w:tcPr>
            <w:tcW w:w="1050" w:type="dxa"/>
            <w:tcBorders>
              <w:top w:val="single" w:sz="4" w:space="0" w:color="auto"/>
              <w:left w:val="nil"/>
              <w:bottom w:val="single" w:sz="4" w:space="0" w:color="auto"/>
              <w:right w:val="nil"/>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Year 2014</w:t>
            </w:r>
          </w:p>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c>
          <w:tcPr>
            <w:tcW w:w="1050" w:type="dxa"/>
            <w:tcBorders>
              <w:top w:val="single" w:sz="4" w:space="0" w:color="auto"/>
              <w:left w:val="nil"/>
              <w:bottom w:val="single" w:sz="4" w:space="0" w:color="auto"/>
              <w:right w:val="single" w:sz="4" w:space="0" w:color="auto"/>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c>
          <w:tcPr>
            <w:tcW w:w="943" w:type="dxa"/>
            <w:tcBorders>
              <w:top w:val="single" w:sz="4" w:space="0" w:color="auto"/>
              <w:left w:val="single" w:sz="4" w:space="0" w:color="auto"/>
              <w:bottom w:val="single" w:sz="4" w:space="0" w:color="auto"/>
              <w:right w:val="nil"/>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c>
          <w:tcPr>
            <w:tcW w:w="1050" w:type="dxa"/>
            <w:tcBorders>
              <w:top w:val="single" w:sz="4" w:space="0" w:color="auto"/>
              <w:left w:val="nil"/>
              <w:bottom w:val="single" w:sz="4" w:space="0" w:color="auto"/>
              <w:right w:val="nil"/>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Year 2015</w:t>
            </w:r>
          </w:p>
        </w:tc>
        <w:tc>
          <w:tcPr>
            <w:tcW w:w="1050" w:type="dxa"/>
            <w:tcBorders>
              <w:top w:val="single" w:sz="4" w:space="0" w:color="auto"/>
              <w:left w:val="nil"/>
              <w:bottom w:val="single" w:sz="4" w:space="0" w:color="auto"/>
              <w:right w:val="single" w:sz="4" w:space="0" w:color="auto"/>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c>
          <w:tcPr>
            <w:tcW w:w="933" w:type="dxa"/>
            <w:tcBorders>
              <w:top w:val="single" w:sz="4" w:space="0" w:color="auto"/>
              <w:left w:val="single" w:sz="4" w:space="0" w:color="auto"/>
              <w:bottom w:val="single" w:sz="4" w:space="0" w:color="auto"/>
              <w:right w:val="nil"/>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c>
          <w:tcPr>
            <w:tcW w:w="1050" w:type="dxa"/>
            <w:tcBorders>
              <w:top w:val="single" w:sz="4" w:space="0" w:color="auto"/>
              <w:left w:val="nil"/>
              <w:bottom w:val="single" w:sz="4" w:space="0" w:color="auto"/>
              <w:right w:val="nil"/>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Year 2016</w:t>
            </w:r>
          </w:p>
        </w:tc>
        <w:tc>
          <w:tcPr>
            <w:tcW w:w="1050" w:type="dxa"/>
            <w:tcBorders>
              <w:top w:val="single" w:sz="4" w:space="0" w:color="auto"/>
              <w:left w:val="nil"/>
              <w:bottom w:val="single" w:sz="4" w:space="0" w:color="auto"/>
              <w:right w:val="single" w:sz="4" w:space="0" w:color="auto"/>
            </w:tcBorders>
            <w:vAlign w:val="center"/>
          </w:tcPr>
          <w:p w:rsidR="00456BF9" w:rsidRPr="00456BF9" w:rsidRDefault="00456BF9" w:rsidP="00902DB0">
            <w:pPr>
              <w:keepNext/>
              <w:keepLines/>
              <w:spacing w:after="0" w:line="240" w:lineRule="auto"/>
              <w:jc w:val="center"/>
              <w:outlineLvl w:val="1"/>
              <w:rPr>
                <w:rFonts w:ascii="Times New Roman" w:eastAsia="SimSun" w:hAnsi="Times New Roman" w:cs="Times New Roman"/>
                <w:b/>
                <w:bCs/>
                <w:sz w:val="20"/>
                <w:szCs w:val="20"/>
                <w:lang w:val="en-GB"/>
              </w:rPr>
            </w:pPr>
          </w:p>
        </w:tc>
      </w:tr>
      <w:tr w:rsidR="00456BF9" w:rsidRPr="00456BF9" w:rsidTr="00456BF9">
        <w:trPr>
          <w:cantSplit/>
          <w:trHeight w:val="1134"/>
          <w:jc w:val="center"/>
        </w:trPr>
        <w:tc>
          <w:tcPr>
            <w:tcW w:w="1058" w:type="dxa"/>
            <w:tcBorders>
              <w:top w:val="single" w:sz="4" w:space="0" w:color="auto"/>
            </w:tcBorders>
            <w:vAlign w:val="center"/>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tc>
        <w:tc>
          <w:tcPr>
            <w:tcW w:w="943"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P</w:t>
            </w:r>
            <w:r w:rsidRPr="00456BF9">
              <w:rPr>
                <w:rFonts w:ascii="Times New Roman" w:eastAsia="SimSun" w:hAnsi="Times New Roman" w:cs="Times New Roman"/>
                <w:b/>
                <w:bCs/>
                <w:sz w:val="20"/>
                <w:szCs w:val="20"/>
                <w:lang w:val="en-GB"/>
              </w:rPr>
              <w:t>ositions</w:t>
            </w:r>
          </w:p>
        </w:tc>
        <w:tc>
          <w:tcPr>
            <w:tcW w:w="1050"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Total a</w:t>
            </w:r>
            <w:r w:rsidRPr="00456BF9">
              <w:rPr>
                <w:rFonts w:ascii="Times New Roman" w:eastAsia="SimSun" w:hAnsi="Times New Roman" w:cs="Times New Roman"/>
                <w:b/>
                <w:bCs/>
                <w:sz w:val="20"/>
                <w:szCs w:val="20"/>
                <w:lang w:val="en-GB"/>
              </w:rPr>
              <w:t>pplicants</w:t>
            </w:r>
          </w:p>
        </w:tc>
        <w:tc>
          <w:tcPr>
            <w:tcW w:w="1050"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Qualified</w:t>
            </w:r>
            <w:r w:rsidRPr="00456BF9">
              <w:rPr>
                <w:rFonts w:ascii="Times New Roman" w:eastAsia="SimSun" w:hAnsi="Times New Roman" w:cs="Times New Roman"/>
                <w:b/>
                <w:bCs/>
                <w:sz w:val="20"/>
                <w:szCs w:val="20"/>
                <w:lang w:val="en-GB"/>
              </w:rPr>
              <w:t xml:space="preserve"> applicants </w:t>
            </w:r>
          </w:p>
        </w:tc>
        <w:tc>
          <w:tcPr>
            <w:tcW w:w="943"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P</w:t>
            </w:r>
            <w:r w:rsidRPr="00456BF9">
              <w:rPr>
                <w:rFonts w:ascii="Times New Roman" w:eastAsia="SimSun" w:hAnsi="Times New Roman" w:cs="Times New Roman"/>
                <w:b/>
                <w:bCs/>
                <w:sz w:val="20"/>
                <w:szCs w:val="20"/>
                <w:lang w:val="en-GB"/>
              </w:rPr>
              <w:t>ositions</w:t>
            </w:r>
          </w:p>
        </w:tc>
        <w:tc>
          <w:tcPr>
            <w:tcW w:w="1050"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Total a</w:t>
            </w:r>
            <w:r w:rsidRPr="00456BF9">
              <w:rPr>
                <w:rFonts w:ascii="Times New Roman" w:eastAsia="SimSun" w:hAnsi="Times New Roman" w:cs="Times New Roman"/>
                <w:b/>
                <w:bCs/>
                <w:sz w:val="20"/>
                <w:szCs w:val="20"/>
                <w:lang w:val="en-GB"/>
              </w:rPr>
              <w:t>pplicants</w:t>
            </w:r>
          </w:p>
        </w:tc>
        <w:tc>
          <w:tcPr>
            <w:tcW w:w="1050"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Qualified</w:t>
            </w:r>
            <w:r w:rsidRPr="00456BF9">
              <w:rPr>
                <w:rFonts w:ascii="Times New Roman" w:eastAsia="SimSun" w:hAnsi="Times New Roman" w:cs="Times New Roman"/>
                <w:b/>
                <w:bCs/>
                <w:sz w:val="20"/>
                <w:szCs w:val="20"/>
                <w:lang w:val="en-GB"/>
              </w:rPr>
              <w:t xml:space="preserve"> applicants </w:t>
            </w:r>
          </w:p>
        </w:tc>
        <w:tc>
          <w:tcPr>
            <w:tcW w:w="933"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P</w:t>
            </w:r>
            <w:r w:rsidRPr="00456BF9">
              <w:rPr>
                <w:rFonts w:ascii="Times New Roman" w:eastAsia="SimSun" w:hAnsi="Times New Roman" w:cs="Times New Roman"/>
                <w:b/>
                <w:bCs/>
                <w:sz w:val="20"/>
                <w:szCs w:val="20"/>
                <w:lang w:val="en-GB"/>
              </w:rPr>
              <w:t>ositions</w:t>
            </w:r>
          </w:p>
        </w:tc>
        <w:tc>
          <w:tcPr>
            <w:tcW w:w="1050"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Total a</w:t>
            </w:r>
            <w:r w:rsidRPr="00456BF9">
              <w:rPr>
                <w:rFonts w:ascii="Times New Roman" w:eastAsia="SimSun" w:hAnsi="Times New Roman" w:cs="Times New Roman"/>
                <w:b/>
                <w:bCs/>
                <w:sz w:val="20"/>
                <w:szCs w:val="20"/>
                <w:lang w:val="en-GB"/>
              </w:rPr>
              <w:t>pplicants</w:t>
            </w:r>
          </w:p>
        </w:tc>
        <w:tc>
          <w:tcPr>
            <w:tcW w:w="1050" w:type="dxa"/>
            <w:tcBorders>
              <w:top w:val="single" w:sz="4" w:space="0" w:color="auto"/>
            </w:tcBorders>
            <w:textDirection w:val="btLr"/>
            <w:vAlign w:val="center"/>
          </w:tcPr>
          <w:p w:rsidR="00456BF9" w:rsidRPr="00456BF9" w:rsidRDefault="00456BF9" w:rsidP="00456BF9">
            <w:pPr>
              <w:keepNext/>
              <w:keepLines/>
              <w:spacing w:after="0" w:line="240" w:lineRule="auto"/>
              <w:ind w:left="113" w:right="113"/>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Qualified</w:t>
            </w:r>
            <w:r w:rsidRPr="00456BF9">
              <w:rPr>
                <w:rFonts w:ascii="Times New Roman" w:eastAsia="SimSun" w:hAnsi="Times New Roman" w:cs="Times New Roman"/>
                <w:b/>
                <w:bCs/>
                <w:sz w:val="20"/>
                <w:szCs w:val="20"/>
                <w:lang w:val="en-GB"/>
              </w:rPr>
              <w:t xml:space="preserve"> applicants </w:t>
            </w:r>
          </w:p>
        </w:tc>
      </w:tr>
      <w:tr w:rsidR="00456BF9" w:rsidRPr="00456BF9" w:rsidTr="00456BF9">
        <w:trPr>
          <w:jc w:val="center"/>
        </w:trPr>
        <w:tc>
          <w:tcPr>
            <w:tcW w:w="1058"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r w:rsidRPr="00456BF9">
              <w:rPr>
                <w:rFonts w:ascii="Times New Roman" w:eastAsia="SimSun" w:hAnsi="Times New Roman" w:cs="Times New Roman"/>
                <w:bCs/>
                <w:sz w:val="20"/>
                <w:szCs w:val="20"/>
                <w:lang w:val="en-GB"/>
              </w:rPr>
              <w:t>Ph.d</w:t>
            </w: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tc>
        <w:tc>
          <w:tcPr>
            <w:tcW w:w="943"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2</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49</w:t>
            </w:r>
          </w:p>
        </w:tc>
        <w:tc>
          <w:tcPr>
            <w:tcW w:w="1050" w:type="dxa"/>
            <w:vAlign w:val="center"/>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4</w:t>
            </w:r>
          </w:p>
        </w:tc>
        <w:tc>
          <w:tcPr>
            <w:tcW w:w="943"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4</w:t>
            </w:r>
          </w:p>
        </w:tc>
        <w:tc>
          <w:tcPr>
            <w:tcW w:w="1050" w:type="dxa"/>
            <w:vAlign w:val="center"/>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95</w:t>
            </w:r>
          </w:p>
        </w:tc>
        <w:tc>
          <w:tcPr>
            <w:tcW w:w="1050" w:type="dxa"/>
            <w:vAlign w:val="center"/>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7</w:t>
            </w:r>
          </w:p>
        </w:tc>
        <w:tc>
          <w:tcPr>
            <w:tcW w:w="933"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2</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28</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4</w:t>
            </w:r>
          </w:p>
        </w:tc>
      </w:tr>
      <w:tr w:rsidR="00456BF9" w:rsidRPr="00456BF9" w:rsidTr="00456BF9">
        <w:trPr>
          <w:jc w:val="center"/>
        </w:trPr>
        <w:tc>
          <w:tcPr>
            <w:tcW w:w="1058"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r w:rsidRPr="00456BF9">
              <w:rPr>
                <w:rFonts w:ascii="Times New Roman" w:eastAsia="SimSun" w:hAnsi="Times New Roman" w:cs="Times New Roman"/>
                <w:bCs/>
                <w:sz w:val="20"/>
                <w:szCs w:val="20"/>
                <w:lang w:val="en-GB"/>
              </w:rPr>
              <w:t>Post.doc</w:t>
            </w: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tc>
        <w:tc>
          <w:tcPr>
            <w:tcW w:w="943"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10</w:t>
            </w:r>
          </w:p>
        </w:tc>
        <w:tc>
          <w:tcPr>
            <w:tcW w:w="1050" w:type="dxa"/>
            <w:vAlign w:val="center"/>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2</w:t>
            </w:r>
          </w:p>
        </w:tc>
        <w:tc>
          <w:tcPr>
            <w:tcW w:w="943"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w:t>
            </w:r>
          </w:p>
        </w:tc>
        <w:tc>
          <w:tcPr>
            <w:tcW w:w="1050" w:type="dxa"/>
            <w:vAlign w:val="center"/>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4</w:t>
            </w:r>
          </w:p>
        </w:tc>
        <w:tc>
          <w:tcPr>
            <w:tcW w:w="1050" w:type="dxa"/>
            <w:vAlign w:val="center"/>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w:t>
            </w:r>
          </w:p>
        </w:tc>
        <w:tc>
          <w:tcPr>
            <w:tcW w:w="933"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2</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33</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4</w:t>
            </w:r>
          </w:p>
        </w:tc>
      </w:tr>
      <w:tr w:rsidR="00456BF9" w:rsidRPr="00456BF9" w:rsidTr="00456BF9">
        <w:trPr>
          <w:jc w:val="center"/>
        </w:trPr>
        <w:tc>
          <w:tcPr>
            <w:tcW w:w="1058"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r w:rsidRPr="00456BF9">
              <w:rPr>
                <w:rFonts w:ascii="Times New Roman" w:eastAsia="SimSun" w:hAnsi="Times New Roman" w:cs="Times New Roman"/>
                <w:bCs/>
                <w:sz w:val="20"/>
                <w:szCs w:val="20"/>
                <w:lang w:val="en-GB"/>
              </w:rPr>
              <w:t>Temporary</w:t>
            </w: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r w:rsidRPr="00456BF9">
              <w:rPr>
                <w:rFonts w:ascii="Times New Roman" w:eastAsia="SimSun" w:hAnsi="Times New Roman" w:cs="Times New Roman"/>
                <w:bCs/>
                <w:sz w:val="20"/>
                <w:szCs w:val="20"/>
                <w:lang w:val="en-GB"/>
              </w:rPr>
              <w:t>researcher</w:t>
            </w: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tc>
        <w:tc>
          <w:tcPr>
            <w:tcW w:w="943"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vAlign w:val="center"/>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943"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vAlign w:val="center"/>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vAlign w:val="center"/>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933"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6</w:t>
            </w:r>
          </w:p>
        </w:tc>
        <w:tc>
          <w:tcPr>
            <w:tcW w:w="1050"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w:t>
            </w: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tc>
      </w:tr>
      <w:tr w:rsidR="00456BF9" w:rsidRPr="00456BF9" w:rsidTr="00456BF9">
        <w:trPr>
          <w:jc w:val="center"/>
        </w:trPr>
        <w:tc>
          <w:tcPr>
            <w:tcW w:w="1058" w:type="dxa"/>
          </w:tcPr>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r w:rsidRPr="00456BF9">
              <w:rPr>
                <w:rFonts w:ascii="Times New Roman" w:eastAsia="SimSun" w:hAnsi="Times New Roman" w:cs="Times New Roman"/>
                <w:bCs/>
                <w:sz w:val="20"/>
                <w:szCs w:val="20"/>
                <w:lang w:val="en-GB"/>
              </w:rPr>
              <w:t>Permanent  researcher</w:t>
            </w:r>
          </w:p>
          <w:p w:rsidR="00456BF9" w:rsidRPr="00456BF9" w:rsidRDefault="00456BF9" w:rsidP="00456BF9">
            <w:pPr>
              <w:keepNext/>
              <w:keepLines/>
              <w:spacing w:after="0" w:line="240" w:lineRule="auto"/>
              <w:jc w:val="center"/>
              <w:outlineLvl w:val="1"/>
              <w:rPr>
                <w:rFonts w:ascii="Times New Roman" w:eastAsia="SimSun" w:hAnsi="Times New Roman" w:cs="Times New Roman"/>
                <w:bCs/>
                <w:sz w:val="20"/>
                <w:szCs w:val="20"/>
                <w:lang w:val="en-GB"/>
              </w:rPr>
            </w:pPr>
          </w:p>
        </w:tc>
        <w:tc>
          <w:tcPr>
            <w:tcW w:w="943"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vAlign w:val="center"/>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943"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w:t>
            </w:r>
          </w:p>
        </w:tc>
        <w:tc>
          <w:tcPr>
            <w:tcW w:w="1050" w:type="dxa"/>
            <w:vAlign w:val="center"/>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8</w:t>
            </w:r>
          </w:p>
        </w:tc>
        <w:tc>
          <w:tcPr>
            <w:tcW w:w="1050" w:type="dxa"/>
            <w:vAlign w:val="center"/>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sidRPr="00456BF9">
              <w:rPr>
                <w:rFonts w:ascii="Times New Roman" w:eastAsia="SimSun" w:hAnsi="Times New Roman" w:cs="Times New Roman"/>
                <w:b/>
                <w:bCs/>
                <w:sz w:val="20"/>
                <w:szCs w:val="20"/>
                <w:lang w:val="en-GB"/>
              </w:rPr>
              <w:t>1</w:t>
            </w:r>
          </w:p>
        </w:tc>
        <w:tc>
          <w:tcPr>
            <w:tcW w:w="933"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c>
          <w:tcPr>
            <w:tcW w:w="1050" w:type="dxa"/>
          </w:tcPr>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p>
          <w:p w:rsidR="00456BF9" w:rsidRPr="00456BF9" w:rsidRDefault="00456BF9" w:rsidP="00456BF9">
            <w:pPr>
              <w:keepNext/>
              <w:keepLines/>
              <w:spacing w:after="0" w:line="240" w:lineRule="auto"/>
              <w:jc w:val="center"/>
              <w:outlineLvl w:val="1"/>
              <w:rPr>
                <w:rFonts w:ascii="Times New Roman" w:eastAsia="SimSun" w:hAnsi="Times New Roman" w:cs="Times New Roman"/>
                <w:b/>
                <w:bCs/>
                <w:sz w:val="20"/>
                <w:szCs w:val="20"/>
                <w:lang w:val="en-GB"/>
              </w:rPr>
            </w:pPr>
            <w:r>
              <w:rPr>
                <w:rFonts w:ascii="Times New Roman" w:eastAsia="SimSun" w:hAnsi="Times New Roman" w:cs="Times New Roman"/>
                <w:b/>
                <w:bCs/>
                <w:sz w:val="20"/>
                <w:szCs w:val="20"/>
                <w:lang w:val="en-GB"/>
              </w:rPr>
              <w:t>-</w:t>
            </w:r>
          </w:p>
        </w:tc>
      </w:tr>
    </w:tbl>
    <w:p w:rsidR="0008038A" w:rsidRDefault="0008038A" w:rsidP="00180A0B">
      <w:pPr>
        <w:spacing w:after="0" w:line="240" w:lineRule="auto"/>
        <w:contextualSpacing/>
        <w:jc w:val="both"/>
        <w:rPr>
          <w:rFonts w:ascii="Times New Roman" w:eastAsia="Calibri" w:hAnsi="Times New Roman" w:cs="Times New Roman"/>
          <w:sz w:val="24"/>
          <w:szCs w:val="24"/>
          <w:lang w:val="en-GB" w:eastAsia="en-US"/>
        </w:rPr>
      </w:pPr>
    </w:p>
    <w:p w:rsidR="0008038A" w:rsidRDefault="0008038A" w:rsidP="00180A0B">
      <w:pPr>
        <w:spacing w:after="0" w:line="240" w:lineRule="auto"/>
        <w:contextualSpacing/>
        <w:jc w:val="both"/>
        <w:rPr>
          <w:rFonts w:ascii="Times New Roman" w:eastAsia="Calibri" w:hAnsi="Times New Roman" w:cs="Times New Roman"/>
          <w:sz w:val="24"/>
          <w:szCs w:val="24"/>
          <w:lang w:val="en-GB" w:eastAsia="en-US"/>
        </w:rPr>
      </w:pPr>
    </w:p>
    <w:p w:rsidR="004114DD" w:rsidRPr="007102FE" w:rsidRDefault="004114DD" w:rsidP="00180A0B">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4"/>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lastRenderedPageBreak/>
        <w:t xml:space="preserve">If relevant, please describe how the PhD training is organized and to what degree PhD students are included in larger projects within the research discipline. </w:t>
      </w:r>
    </w:p>
    <w:p w:rsidR="00180A0B" w:rsidRDefault="00180A0B" w:rsidP="00180A0B">
      <w:pPr>
        <w:spacing w:after="0" w:line="240" w:lineRule="auto"/>
        <w:contextualSpacing/>
        <w:jc w:val="both"/>
        <w:rPr>
          <w:rFonts w:ascii="Times New Roman" w:eastAsia="Calibri" w:hAnsi="Times New Roman" w:cs="Times New Roman"/>
          <w:sz w:val="24"/>
          <w:szCs w:val="24"/>
          <w:lang w:val="en-GB" w:eastAsia="en-US"/>
        </w:rPr>
      </w:pPr>
    </w:p>
    <w:p w:rsidR="005100C3" w:rsidRDefault="005100C3" w:rsidP="00180A0B">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TIK </w:t>
      </w:r>
      <w:r w:rsidR="00404314">
        <w:rPr>
          <w:rFonts w:ascii="Times New Roman" w:eastAsia="Calibri" w:hAnsi="Times New Roman" w:cs="Times New Roman"/>
          <w:sz w:val="24"/>
          <w:szCs w:val="24"/>
          <w:lang w:val="en-GB" w:eastAsia="en-US"/>
        </w:rPr>
        <w:t>has</w:t>
      </w:r>
      <w:r>
        <w:rPr>
          <w:rFonts w:ascii="Times New Roman" w:eastAsia="Calibri" w:hAnsi="Times New Roman" w:cs="Times New Roman"/>
          <w:sz w:val="24"/>
          <w:szCs w:val="24"/>
          <w:lang w:val="en-GB" w:eastAsia="en-US"/>
        </w:rPr>
        <w:t xml:space="preserve"> currently 15 PhD students in Innovation Studies. The PhD in Innovation Studies is a track in the Faculty’s PhD programme: </w:t>
      </w:r>
      <w:hyperlink r:id="rId8" w:history="1">
        <w:r w:rsidRPr="000E60DB">
          <w:rPr>
            <w:rStyle w:val="Hyperlink"/>
            <w:rFonts w:ascii="Times New Roman" w:eastAsia="Calibri" w:hAnsi="Times New Roman" w:cs="Times New Roman"/>
            <w:sz w:val="24"/>
            <w:szCs w:val="24"/>
            <w:lang w:val="en-GB" w:eastAsia="en-US"/>
          </w:rPr>
          <w:t>https://www.sv.uio.no/english/research/phd/</w:t>
        </w:r>
      </w:hyperlink>
      <w:r>
        <w:rPr>
          <w:rFonts w:ascii="Times New Roman" w:eastAsia="Calibri" w:hAnsi="Times New Roman" w:cs="Times New Roman"/>
          <w:sz w:val="24"/>
          <w:szCs w:val="24"/>
          <w:lang w:val="en-GB" w:eastAsia="en-US"/>
        </w:rPr>
        <w:t>. Organization and structure of TIK’s PhD track is therefore based upon the Faculty’s guidelines. At present, ten PhD students in innovation studies are externally funded through research projects that are broadly related to the economic-administrative discipline (see list of these projects in table 3 below).</w:t>
      </w:r>
    </w:p>
    <w:p w:rsidR="005100C3" w:rsidRDefault="005100C3" w:rsidP="00180A0B">
      <w:pPr>
        <w:spacing w:after="0" w:line="240" w:lineRule="auto"/>
        <w:contextualSpacing/>
        <w:jc w:val="both"/>
        <w:rPr>
          <w:rFonts w:ascii="Times New Roman" w:eastAsia="Calibri" w:hAnsi="Times New Roman" w:cs="Times New Roman"/>
          <w:sz w:val="24"/>
          <w:szCs w:val="24"/>
          <w:lang w:val="en-GB" w:eastAsia="en-US"/>
        </w:rPr>
      </w:pPr>
    </w:p>
    <w:p w:rsidR="0008038A" w:rsidRDefault="005100C3" w:rsidP="00180A0B">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PhD students in Innovation Studies are offered a variety of courses every year. </w:t>
      </w:r>
      <w:r w:rsidR="006542C7" w:rsidRPr="006542C7">
        <w:rPr>
          <w:rFonts w:ascii="Times New Roman" w:eastAsia="Calibri" w:hAnsi="Times New Roman" w:cs="Times New Roman"/>
          <w:sz w:val="24"/>
          <w:szCs w:val="24"/>
          <w:lang w:val="en-GB" w:eastAsia="en-US"/>
        </w:rPr>
        <w:t>There is a biennial PhD course in economics of innovation</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 xml:space="preserve"> and specific courses related to projects (one on industrial dynamics in 2016 and one planned for 2017 related to public science and innovation). These courses also attract students from other institutions. The research school NORSI </w:t>
      </w:r>
      <w:r>
        <w:rPr>
          <w:rFonts w:ascii="Times New Roman" w:eastAsia="Calibri" w:hAnsi="Times New Roman" w:cs="Times New Roman"/>
          <w:sz w:val="24"/>
          <w:szCs w:val="24"/>
          <w:lang w:val="en-GB" w:eastAsia="en-US"/>
        </w:rPr>
        <w:t xml:space="preserve">(“Norwegian Research School in Innovation”) </w:t>
      </w:r>
      <w:r w:rsidR="006542C7" w:rsidRPr="006542C7">
        <w:rPr>
          <w:rFonts w:ascii="Times New Roman" w:eastAsia="Calibri" w:hAnsi="Times New Roman" w:cs="Times New Roman"/>
          <w:sz w:val="24"/>
          <w:szCs w:val="24"/>
          <w:lang w:val="en-GB" w:eastAsia="en-US"/>
        </w:rPr>
        <w:t xml:space="preserve">is central for other </w:t>
      </w:r>
      <w:r>
        <w:rPr>
          <w:rFonts w:ascii="Times New Roman" w:eastAsia="Calibri" w:hAnsi="Times New Roman" w:cs="Times New Roman"/>
          <w:sz w:val="24"/>
          <w:szCs w:val="24"/>
          <w:lang w:val="en-GB" w:eastAsia="en-US"/>
        </w:rPr>
        <w:t xml:space="preserve">PhD </w:t>
      </w:r>
      <w:r w:rsidR="006542C7" w:rsidRPr="006542C7">
        <w:rPr>
          <w:rFonts w:ascii="Times New Roman" w:eastAsia="Calibri" w:hAnsi="Times New Roman" w:cs="Times New Roman"/>
          <w:sz w:val="24"/>
          <w:szCs w:val="24"/>
          <w:lang w:val="en-GB" w:eastAsia="en-US"/>
        </w:rPr>
        <w:t>coursework, network building and particular activities (</w:t>
      </w:r>
      <w:r>
        <w:rPr>
          <w:rFonts w:ascii="Times New Roman" w:eastAsia="Calibri" w:hAnsi="Times New Roman" w:cs="Times New Roman"/>
          <w:sz w:val="24"/>
          <w:szCs w:val="24"/>
          <w:lang w:val="en-GB" w:eastAsia="en-US"/>
        </w:rPr>
        <w:t xml:space="preserve">e.g. </w:t>
      </w:r>
      <w:r w:rsidR="006542C7" w:rsidRPr="006542C7">
        <w:rPr>
          <w:rFonts w:ascii="Times New Roman" w:eastAsia="Calibri" w:hAnsi="Times New Roman" w:cs="Times New Roman"/>
          <w:sz w:val="24"/>
          <w:szCs w:val="24"/>
          <w:lang w:val="en-GB" w:eastAsia="en-US"/>
        </w:rPr>
        <w:t>writing seminar related t</w:t>
      </w:r>
      <w:r>
        <w:rPr>
          <w:rFonts w:ascii="Times New Roman" w:eastAsia="Calibri" w:hAnsi="Times New Roman" w:cs="Times New Roman"/>
          <w:sz w:val="24"/>
          <w:szCs w:val="24"/>
          <w:lang w:val="en-GB" w:eastAsia="en-US"/>
        </w:rPr>
        <w:t>o “kappe”/expanded introduction;</w:t>
      </w:r>
      <w:r w:rsidR="006542C7" w:rsidRPr="006542C7">
        <w:rPr>
          <w:rFonts w:ascii="Times New Roman" w:eastAsia="Calibri" w:hAnsi="Times New Roman" w:cs="Times New Roman"/>
          <w:sz w:val="24"/>
          <w:szCs w:val="24"/>
          <w:lang w:val="en-GB" w:eastAsia="en-US"/>
        </w:rPr>
        <w:t xml:space="preserve"> PhD level research conference). Within the </w:t>
      </w:r>
      <w:r>
        <w:rPr>
          <w:rFonts w:ascii="Times New Roman" w:eastAsia="Calibri" w:hAnsi="Times New Roman" w:cs="Times New Roman"/>
          <w:sz w:val="24"/>
          <w:szCs w:val="24"/>
          <w:lang w:val="en-GB" w:eastAsia="en-US"/>
        </w:rPr>
        <w:t xml:space="preserve">international </w:t>
      </w:r>
      <w:r w:rsidR="006542C7" w:rsidRPr="006542C7">
        <w:rPr>
          <w:rFonts w:ascii="Times New Roman" w:eastAsia="Calibri" w:hAnsi="Times New Roman" w:cs="Times New Roman"/>
          <w:sz w:val="24"/>
          <w:szCs w:val="24"/>
          <w:lang w:val="en-GB" w:eastAsia="en-US"/>
        </w:rPr>
        <w:t xml:space="preserve">EU-SPRI network there are courses, younger researcher workshops and conferences and opportunities for </w:t>
      </w:r>
      <w:r w:rsidR="00404314">
        <w:rPr>
          <w:rFonts w:ascii="Times New Roman" w:eastAsia="Calibri" w:hAnsi="Times New Roman" w:cs="Times New Roman"/>
          <w:sz w:val="24"/>
          <w:szCs w:val="24"/>
          <w:lang w:val="en-GB" w:eastAsia="en-US"/>
        </w:rPr>
        <w:t xml:space="preserve">young </w:t>
      </w:r>
      <w:r w:rsidR="006542C7" w:rsidRPr="006542C7">
        <w:rPr>
          <w:rFonts w:ascii="Times New Roman" w:eastAsia="Calibri" w:hAnsi="Times New Roman" w:cs="Times New Roman"/>
          <w:sz w:val="24"/>
          <w:szCs w:val="24"/>
          <w:lang w:val="en-GB" w:eastAsia="en-US"/>
        </w:rPr>
        <w:t>personnel exchange. TIK’s innovation group is part of EU-SPRI’s new summer/winter school initiative with a summer school planned for 2018. In addition</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TIK</w:t>
      </w:r>
      <w:r w:rsidR="006542C7" w:rsidRPr="006542C7">
        <w:rPr>
          <w:rFonts w:ascii="Times New Roman" w:eastAsia="Calibri" w:hAnsi="Times New Roman" w:cs="Times New Roman"/>
          <w:sz w:val="24"/>
          <w:szCs w:val="24"/>
          <w:lang w:val="en-GB" w:eastAsia="en-US"/>
        </w:rPr>
        <w:t xml:space="preserve"> organises courses </w:t>
      </w:r>
      <w:r>
        <w:rPr>
          <w:rFonts w:ascii="Times New Roman" w:eastAsia="Calibri" w:hAnsi="Times New Roman" w:cs="Times New Roman"/>
          <w:sz w:val="24"/>
          <w:szCs w:val="24"/>
          <w:lang w:val="en-GB" w:eastAsia="en-US"/>
        </w:rPr>
        <w:t xml:space="preserve">in innovation studies for </w:t>
      </w:r>
      <w:r w:rsidR="006542C7" w:rsidRPr="006542C7">
        <w:rPr>
          <w:rFonts w:ascii="Times New Roman" w:eastAsia="Calibri" w:hAnsi="Times New Roman" w:cs="Times New Roman"/>
          <w:sz w:val="24"/>
          <w:szCs w:val="24"/>
          <w:lang w:val="en-GB" w:eastAsia="en-US"/>
        </w:rPr>
        <w:t xml:space="preserve">the Oslo Summer School in Social Sciences (2015: </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Innovation in networks</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 xml:space="preserve">; 2016: </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Finance and innovation</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 xml:space="preserve">; 2017: </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Responsible research and innovation</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w:t>
      </w:r>
    </w:p>
    <w:p w:rsidR="006542C7" w:rsidRDefault="006542C7" w:rsidP="00180A0B">
      <w:pPr>
        <w:spacing w:after="0" w:line="240" w:lineRule="auto"/>
        <w:contextualSpacing/>
        <w:jc w:val="both"/>
        <w:rPr>
          <w:rFonts w:ascii="Times New Roman" w:eastAsia="Calibri" w:hAnsi="Times New Roman" w:cs="Times New Roman"/>
          <w:sz w:val="24"/>
          <w:szCs w:val="24"/>
          <w:lang w:val="en-GB" w:eastAsia="en-US"/>
        </w:rPr>
      </w:pPr>
    </w:p>
    <w:p w:rsidR="0008038A" w:rsidRPr="007102FE" w:rsidRDefault="0008038A" w:rsidP="00180A0B">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4"/>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Indicate the normal distribution of time between research, teaching and other activities (administrative tasks, project acquisition etc.) for all academic positions and policies for redistribution of tasks between staff.</w:t>
      </w:r>
    </w:p>
    <w:p w:rsidR="00180A0B" w:rsidRDefault="00180A0B" w:rsidP="00180A0B">
      <w:pPr>
        <w:spacing w:after="0" w:line="240" w:lineRule="auto"/>
        <w:contextualSpacing/>
        <w:jc w:val="both"/>
        <w:rPr>
          <w:rFonts w:ascii="Times New Roman" w:eastAsia="Calibri" w:hAnsi="Times New Roman" w:cs="Times New Roman"/>
          <w:sz w:val="24"/>
          <w:szCs w:val="24"/>
          <w:lang w:val="en-GB" w:eastAsia="en-US"/>
        </w:rPr>
      </w:pPr>
    </w:p>
    <w:p w:rsidR="0008038A" w:rsidRDefault="001B010C" w:rsidP="00180A0B">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According to UiO’s personnel policy, t</w:t>
      </w:r>
      <w:r w:rsidR="00C51506">
        <w:rPr>
          <w:rFonts w:ascii="Times New Roman" w:eastAsia="Calibri" w:hAnsi="Times New Roman" w:cs="Times New Roman"/>
          <w:sz w:val="24"/>
          <w:szCs w:val="24"/>
          <w:lang w:val="en-GB" w:eastAsia="en-US"/>
        </w:rPr>
        <w:t>enured researchers have to divide their working time between research activities (47%) and teaching and administrative activities (53%). TIK has an internal policy (“frikjøp policy”) according to which tenured researchers that are engaged in externally funded research projects can decrease the amount of working time devoted to teaching and administrative activities. In practice, most tenured researchers at TIK</w:t>
      </w:r>
      <w:r>
        <w:rPr>
          <w:rFonts w:ascii="Times New Roman" w:eastAsia="Calibri" w:hAnsi="Times New Roman" w:cs="Times New Roman"/>
          <w:sz w:val="24"/>
          <w:szCs w:val="24"/>
          <w:lang w:val="en-GB" w:eastAsia="en-US"/>
        </w:rPr>
        <w:t xml:space="preserve"> are actively engaged in external projects, and this means that the estimated share of working time that they can dedicate to research activities is around 60% on average.</w:t>
      </w:r>
    </w:p>
    <w:p w:rsidR="00404314" w:rsidRDefault="00404314" w:rsidP="00180A0B">
      <w:pPr>
        <w:spacing w:after="0" w:line="240" w:lineRule="auto"/>
        <w:contextualSpacing/>
        <w:jc w:val="both"/>
        <w:rPr>
          <w:rFonts w:ascii="Times New Roman" w:eastAsia="Calibri" w:hAnsi="Times New Roman" w:cs="Times New Roman"/>
          <w:sz w:val="24"/>
          <w:szCs w:val="24"/>
          <w:lang w:val="en-GB" w:eastAsia="en-US"/>
        </w:rPr>
      </w:pPr>
    </w:p>
    <w:p w:rsidR="0008038A" w:rsidRDefault="001B010C" w:rsidP="00180A0B">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Other researchers in innovation studies (PhD, postdoc, non-tenured researchers) do not have any contractual obligations to work on </w:t>
      </w:r>
      <w:r w:rsidRPr="001B010C">
        <w:rPr>
          <w:rFonts w:ascii="Times New Roman" w:eastAsia="Calibri" w:hAnsi="Times New Roman" w:cs="Times New Roman"/>
          <w:sz w:val="24"/>
          <w:szCs w:val="24"/>
          <w:lang w:val="en-GB" w:eastAsia="en-US"/>
        </w:rPr>
        <w:t>teaching and administrative activities</w:t>
      </w:r>
      <w:r>
        <w:rPr>
          <w:rFonts w:ascii="Times New Roman" w:eastAsia="Calibri" w:hAnsi="Times New Roman" w:cs="Times New Roman"/>
          <w:sz w:val="24"/>
          <w:szCs w:val="24"/>
          <w:lang w:val="en-GB" w:eastAsia="en-US"/>
        </w:rPr>
        <w:t>, and hence work full-time on research. Occasionally, some of the PhD students are invited to contribute to teaching and supervision activities for TIK’s Master program, and their contracts are correspondingly extended.</w:t>
      </w:r>
    </w:p>
    <w:p w:rsidR="001B010C" w:rsidRDefault="001B010C" w:rsidP="00180A0B">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4"/>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If relevant, describe the policy for research leave/sabbatical leave for academic staff.</w:t>
      </w:r>
    </w:p>
    <w:p w:rsidR="00180A0B" w:rsidRDefault="00180A0B" w:rsidP="00CF7207">
      <w:pPr>
        <w:spacing w:after="0" w:line="240" w:lineRule="auto"/>
        <w:contextualSpacing/>
        <w:jc w:val="both"/>
        <w:rPr>
          <w:rFonts w:ascii="Times New Roman" w:eastAsia="Calibri" w:hAnsi="Times New Roman" w:cs="Times New Roman"/>
          <w:sz w:val="24"/>
          <w:szCs w:val="24"/>
          <w:lang w:val="en-GB" w:eastAsia="en-US"/>
        </w:rPr>
      </w:pPr>
    </w:p>
    <w:p w:rsidR="00CF7207" w:rsidRDefault="004114DD" w:rsidP="00CF7207">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The </w:t>
      </w:r>
      <w:r w:rsidRPr="004114DD">
        <w:rPr>
          <w:rFonts w:ascii="Times New Roman" w:eastAsia="Calibri" w:hAnsi="Times New Roman" w:cs="Times New Roman"/>
          <w:sz w:val="24"/>
          <w:szCs w:val="24"/>
          <w:lang w:val="en-GB" w:eastAsia="en-US"/>
        </w:rPr>
        <w:t xml:space="preserve">policy for research leave/sabbatical leave for academic staff </w:t>
      </w:r>
      <w:r>
        <w:rPr>
          <w:rFonts w:ascii="Times New Roman" w:eastAsia="Calibri" w:hAnsi="Times New Roman" w:cs="Times New Roman"/>
          <w:sz w:val="24"/>
          <w:szCs w:val="24"/>
          <w:lang w:val="en-GB" w:eastAsia="en-US"/>
        </w:rPr>
        <w:t xml:space="preserve">is </w:t>
      </w:r>
      <w:r w:rsidR="001B010C">
        <w:rPr>
          <w:rFonts w:ascii="Times New Roman" w:eastAsia="Calibri" w:hAnsi="Times New Roman" w:cs="Times New Roman"/>
          <w:sz w:val="24"/>
          <w:szCs w:val="24"/>
          <w:lang w:val="en-GB" w:eastAsia="en-US"/>
        </w:rPr>
        <w:t>regulated by the Faculty’s and UiO’s guidelines.</w:t>
      </w:r>
    </w:p>
    <w:p w:rsidR="00CF7207" w:rsidRDefault="00CF7207" w:rsidP="00CF7207">
      <w:pPr>
        <w:spacing w:after="0" w:line="240" w:lineRule="auto"/>
        <w:contextualSpacing/>
        <w:jc w:val="both"/>
        <w:rPr>
          <w:rFonts w:ascii="Times New Roman" w:eastAsia="Calibri" w:hAnsi="Times New Roman" w:cs="Times New Roman"/>
          <w:sz w:val="24"/>
          <w:szCs w:val="24"/>
          <w:lang w:val="en-GB" w:eastAsia="en-US"/>
        </w:rPr>
      </w:pPr>
    </w:p>
    <w:p w:rsidR="0055405E" w:rsidRDefault="0055405E" w:rsidP="00CF7207">
      <w:pPr>
        <w:spacing w:after="0" w:line="240" w:lineRule="auto"/>
        <w:contextualSpacing/>
        <w:jc w:val="both"/>
        <w:rPr>
          <w:rFonts w:ascii="Times New Roman" w:eastAsia="Calibri" w:hAnsi="Times New Roman" w:cs="Times New Roman"/>
          <w:sz w:val="24"/>
          <w:szCs w:val="24"/>
          <w:lang w:val="en-GB" w:eastAsia="en-US"/>
        </w:rPr>
      </w:pPr>
    </w:p>
    <w:p w:rsidR="00515627" w:rsidRPr="007102FE" w:rsidRDefault="00515627" w:rsidP="00CF7207">
      <w:pPr>
        <w:spacing w:after="0" w:line="240" w:lineRule="auto"/>
        <w:contextualSpacing/>
        <w:jc w:val="both"/>
        <w:rPr>
          <w:rFonts w:ascii="Times New Roman" w:eastAsia="Calibri" w:hAnsi="Times New Roman" w:cs="Times New Roman"/>
          <w:sz w:val="24"/>
          <w:szCs w:val="24"/>
          <w:lang w:val="en-GB" w:eastAsia="en-US"/>
        </w:rPr>
      </w:pPr>
    </w:p>
    <w:p w:rsidR="007102FE" w:rsidRPr="00180A0B" w:rsidRDefault="007102FE"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color w:val="FF0000"/>
          <w:sz w:val="28"/>
          <w:szCs w:val="28"/>
          <w:lang w:val="en-GB" w:eastAsia="en-US"/>
        </w:rPr>
      </w:pPr>
      <w:r w:rsidRPr="007102FE">
        <w:rPr>
          <w:rFonts w:ascii="Times New Roman" w:eastAsia="SimSun" w:hAnsi="Times New Roman" w:cs="Times New Roman"/>
          <w:b/>
          <w:bCs/>
          <w:sz w:val="28"/>
          <w:szCs w:val="28"/>
          <w:lang w:val="en-GB" w:eastAsia="en-US"/>
        </w:rPr>
        <w:t xml:space="preserve">Scientific quality </w:t>
      </w:r>
    </w:p>
    <w:p w:rsidR="00515627" w:rsidRPr="007102FE" w:rsidRDefault="00515627"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sz w:val="24"/>
          <w:szCs w:val="24"/>
          <w:lang w:val="en-GB" w:eastAsia="en-US"/>
        </w:rPr>
      </w:pPr>
    </w:p>
    <w:p w:rsidR="007102FE" w:rsidRPr="0008038A" w:rsidRDefault="007102FE" w:rsidP="007102FE">
      <w:pPr>
        <w:numPr>
          <w:ilvl w:val="0"/>
          <w:numId w:val="5"/>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Give a brief overview of the research activities and research groups within the research discipline. Please provide details of the most important contributions to the larger research community over the last 5-10 years. Please include a list of the most important publications resulting from the research in this period (maximum ten publications).</w:t>
      </w:r>
    </w:p>
    <w:p w:rsidR="00180A0B" w:rsidRDefault="00180A0B" w:rsidP="0008038A">
      <w:pPr>
        <w:spacing w:after="0" w:line="240" w:lineRule="auto"/>
        <w:contextualSpacing/>
        <w:jc w:val="both"/>
        <w:rPr>
          <w:rFonts w:ascii="Times New Roman" w:eastAsia="Calibri" w:hAnsi="Times New Roman" w:cs="Times New Roman"/>
          <w:sz w:val="24"/>
          <w:szCs w:val="24"/>
          <w:lang w:val="en-GB" w:eastAsia="en-US"/>
        </w:rPr>
      </w:pPr>
    </w:p>
    <w:p w:rsidR="006D54CF" w:rsidRDefault="006542C7" w:rsidP="0008038A">
      <w:pPr>
        <w:spacing w:after="0" w:line="240" w:lineRule="auto"/>
        <w:contextualSpacing/>
        <w:jc w:val="both"/>
        <w:rPr>
          <w:rFonts w:ascii="Times New Roman" w:eastAsia="Calibri" w:hAnsi="Times New Roman" w:cs="Times New Roman"/>
          <w:sz w:val="24"/>
          <w:szCs w:val="24"/>
          <w:lang w:val="en-GB" w:eastAsia="en-US"/>
        </w:rPr>
      </w:pPr>
      <w:r w:rsidRPr="006542C7">
        <w:rPr>
          <w:rFonts w:ascii="Times New Roman" w:eastAsia="Calibri" w:hAnsi="Times New Roman" w:cs="Times New Roman"/>
          <w:sz w:val="24"/>
          <w:szCs w:val="24"/>
          <w:lang w:val="en-GB" w:eastAsia="en-US"/>
        </w:rPr>
        <w:t>TIK</w:t>
      </w:r>
      <w:r w:rsidR="007467AE">
        <w:rPr>
          <w:rFonts w:ascii="Times New Roman" w:eastAsia="Calibri" w:hAnsi="Times New Roman" w:cs="Times New Roman"/>
          <w:sz w:val="24"/>
          <w:szCs w:val="24"/>
          <w:lang w:val="en-GB" w:eastAsia="en-US"/>
        </w:rPr>
        <w:t>’s innovation studies group</w:t>
      </w:r>
      <w:r w:rsidRPr="006542C7">
        <w:rPr>
          <w:rFonts w:ascii="Times New Roman" w:eastAsia="Calibri" w:hAnsi="Times New Roman" w:cs="Times New Roman"/>
          <w:sz w:val="24"/>
          <w:szCs w:val="24"/>
          <w:lang w:val="en-GB" w:eastAsia="en-US"/>
        </w:rPr>
        <w:t xml:space="preserve"> </w:t>
      </w:r>
      <w:r w:rsidR="007467AE">
        <w:rPr>
          <w:rFonts w:ascii="Times New Roman" w:eastAsia="Calibri" w:hAnsi="Times New Roman" w:cs="Times New Roman"/>
          <w:sz w:val="24"/>
          <w:szCs w:val="24"/>
          <w:lang w:val="en-GB" w:eastAsia="en-US"/>
        </w:rPr>
        <w:t xml:space="preserve">is among the </w:t>
      </w:r>
      <w:r w:rsidRPr="006542C7">
        <w:rPr>
          <w:rFonts w:ascii="Times New Roman" w:eastAsia="Calibri" w:hAnsi="Times New Roman" w:cs="Times New Roman"/>
          <w:sz w:val="24"/>
          <w:szCs w:val="24"/>
          <w:lang w:val="en-GB" w:eastAsia="en-US"/>
        </w:rPr>
        <w:t>strongest resea</w:t>
      </w:r>
      <w:r w:rsidR="007467AE">
        <w:rPr>
          <w:rFonts w:ascii="Times New Roman" w:eastAsia="Calibri" w:hAnsi="Times New Roman" w:cs="Times New Roman"/>
          <w:sz w:val="24"/>
          <w:szCs w:val="24"/>
          <w:lang w:val="en-GB" w:eastAsia="en-US"/>
        </w:rPr>
        <w:t xml:space="preserve">rch environments in the field in Norway. </w:t>
      </w:r>
      <w:r w:rsidRPr="006542C7">
        <w:rPr>
          <w:rFonts w:ascii="Times New Roman" w:eastAsia="Calibri" w:hAnsi="Times New Roman" w:cs="Times New Roman"/>
          <w:sz w:val="24"/>
          <w:szCs w:val="24"/>
          <w:lang w:val="en-GB" w:eastAsia="en-US"/>
        </w:rPr>
        <w:t xml:space="preserve">Internationally, </w:t>
      </w:r>
      <w:r w:rsidR="007467AE">
        <w:rPr>
          <w:rFonts w:ascii="Times New Roman" w:eastAsia="Calibri" w:hAnsi="Times New Roman" w:cs="Times New Roman"/>
          <w:sz w:val="24"/>
          <w:szCs w:val="24"/>
          <w:lang w:val="en-GB" w:eastAsia="en-US"/>
        </w:rPr>
        <w:t>its ambition is</w:t>
      </w:r>
      <w:r w:rsidRPr="006542C7">
        <w:rPr>
          <w:rFonts w:ascii="Times New Roman" w:eastAsia="Calibri" w:hAnsi="Times New Roman" w:cs="Times New Roman"/>
          <w:sz w:val="24"/>
          <w:szCs w:val="24"/>
          <w:lang w:val="en-GB" w:eastAsia="en-US"/>
        </w:rPr>
        <w:t xml:space="preserve"> to be among the leading units in its field. These ambitions imply that the group’s researchers </w:t>
      </w:r>
      <w:r w:rsidR="007467AE">
        <w:rPr>
          <w:rFonts w:ascii="Times New Roman" w:eastAsia="Calibri" w:hAnsi="Times New Roman" w:cs="Times New Roman"/>
          <w:sz w:val="24"/>
          <w:szCs w:val="24"/>
          <w:lang w:val="en-GB" w:eastAsia="en-US"/>
        </w:rPr>
        <w:t>are</w:t>
      </w:r>
      <w:r w:rsidRPr="006542C7">
        <w:rPr>
          <w:rFonts w:ascii="Times New Roman" w:eastAsia="Calibri" w:hAnsi="Times New Roman" w:cs="Times New Roman"/>
          <w:sz w:val="24"/>
          <w:szCs w:val="24"/>
          <w:lang w:val="en-GB" w:eastAsia="en-US"/>
        </w:rPr>
        <w:t xml:space="preserve"> visible in international conferences, key journals and training arenas. TIK’s innovation group is modelled on similar groups found in the UK, the Netherlan</w:t>
      </w:r>
      <w:r w:rsidR="007467AE">
        <w:rPr>
          <w:rFonts w:ascii="Times New Roman" w:eastAsia="Calibri" w:hAnsi="Times New Roman" w:cs="Times New Roman"/>
          <w:sz w:val="24"/>
          <w:szCs w:val="24"/>
          <w:lang w:val="en-GB" w:eastAsia="en-US"/>
        </w:rPr>
        <w:t>ds, Denmark, Sweden and Germany</w:t>
      </w:r>
      <w:r w:rsidRPr="006542C7">
        <w:rPr>
          <w:rFonts w:ascii="Times New Roman" w:eastAsia="Calibri" w:hAnsi="Times New Roman" w:cs="Times New Roman"/>
          <w:sz w:val="24"/>
          <w:szCs w:val="24"/>
          <w:lang w:val="en-GB" w:eastAsia="en-US"/>
        </w:rPr>
        <w:t xml:space="preserve">. There are no sub-groups in TIK’s innovation </w:t>
      </w:r>
      <w:r w:rsidR="007467AE">
        <w:rPr>
          <w:rFonts w:ascii="Times New Roman" w:eastAsia="Calibri" w:hAnsi="Times New Roman" w:cs="Times New Roman"/>
          <w:sz w:val="24"/>
          <w:szCs w:val="24"/>
          <w:lang w:val="en-GB" w:eastAsia="en-US"/>
        </w:rPr>
        <w:t xml:space="preserve">studies </w:t>
      </w:r>
      <w:r w:rsidRPr="006542C7">
        <w:rPr>
          <w:rFonts w:ascii="Times New Roman" w:eastAsia="Calibri" w:hAnsi="Times New Roman" w:cs="Times New Roman"/>
          <w:sz w:val="24"/>
          <w:szCs w:val="24"/>
          <w:lang w:val="en-GB" w:eastAsia="en-US"/>
        </w:rPr>
        <w:t>group</w:t>
      </w:r>
      <w:r w:rsidR="007467AE">
        <w:rPr>
          <w:rFonts w:ascii="Times New Roman" w:eastAsia="Calibri" w:hAnsi="Times New Roman" w:cs="Times New Roman"/>
          <w:sz w:val="24"/>
          <w:szCs w:val="24"/>
          <w:lang w:val="en-GB" w:eastAsia="en-US"/>
        </w:rPr>
        <w:t>,</w:t>
      </w:r>
      <w:r w:rsidRPr="006542C7">
        <w:rPr>
          <w:rFonts w:ascii="Times New Roman" w:eastAsia="Calibri" w:hAnsi="Times New Roman" w:cs="Times New Roman"/>
          <w:sz w:val="24"/>
          <w:szCs w:val="24"/>
          <w:lang w:val="en-GB" w:eastAsia="en-US"/>
        </w:rPr>
        <w:t xml:space="preserve"> although a wide selection of </w:t>
      </w:r>
      <w:r w:rsidR="007467AE">
        <w:rPr>
          <w:rFonts w:ascii="Times New Roman" w:eastAsia="Calibri" w:hAnsi="Times New Roman" w:cs="Times New Roman"/>
          <w:sz w:val="24"/>
          <w:szCs w:val="24"/>
          <w:lang w:val="en-GB" w:eastAsia="en-US"/>
        </w:rPr>
        <w:t xml:space="preserve">economic-administrative research </w:t>
      </w:r>
      <w:r w:rsidRPr="006542C7">
        <w:rPr>
          <w:rFonts w:ascii="Times New Roman" w:eastAsia="Calibri" w:hAnsi="Times New Roman" w:cs="Times New Roman"/>
          <w:sz w:val="24"/>
          <w:szCs w:val="24"/>
          <w:lang w:val="en-GB" w:eastAsia="en-US"/>
        </w:rPr>
        <w:t xml:space="preserve">topics is represented. </w:t>
      </w:r>
    </w:p>
    <w:p w:rsidR="006D54CF" w:rsidRDefault="006D54CF" w:rsidP="0008038A">
      <w:pPr>
        <w:spacing w:after="0" w:line="240" w:lineRule="auto"/>
        <w:contextualSpacing/>
        <w:jc w:val="both"/>
        <w:rPr>
          <w:rFonts w:ascii="Times New Roman" w:eastAsia="Calibri" w:hAnsi="Times New Roman" w:cs="Times New Roman"/>
          <w:sz w:val="24"/>
          <w:szCs w:val="24"/>
          <w:lang w:val="en-GB" w:eastAsia="en-US"/>
        </w:rPr>
      </w:pPr>
    </w:p>
    <w:p w:rsidR="007467AE" w:rsidRDefault="007467AE"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Specifically, </w:t>
      </w:r>
      <w:r w:rsidR="006542C7" w:rsidRPr="006542C7">
        <w:rPr>
          <w:rFonts w:ascii="Times New Roman" w:eastAsia="Calibri" w:hAnsi="Times New Roman" w:cs="Times New Roman"/>
          <w:sz w:val="24"/>
          <w:szCs w:val="24"/>
          <w:lang w:val="en-GB" w:eastAsia="en-US"/>
        </w:rPr>
        <w:t>three main thematic areas</w:t>
      </w:r>
      <w:r>
        <w:rPr>
          <w:rFonts w:ascii="Times New Roman" w:eastAsia="Calibri" w:hAnsi="Times New Roman" w:cs="Times New Roman"/>
          <w:sz w:val="24"/>
          <w:szCs w:val="24"/>
          <w:lang w:val="en-GB" w:eastAsia="en-US"/>
        </w:rPr>
        <w:t xml:space="preserve"> are given priority</w:t>
      </w:r>
      <w:r w:rsidR="006542C7" w:rsidRPr="006542C7">
        <w:rPr>
          <w:rFonts w:ascii="Times New Roman" w:eastAsia="Calibri" w:hAnsi="Times New Roman" w:cs="Times New Roman"/>
          <w:sz w:val="24"/>
          <w:szCs w:val="24"/>
          <w:lang w:val="en-GB" w:eastAsia="en-US"/>
        </w:rPr>
        <w:t xml:space="preserve">. The first is </w:t>
      </w:r>
      <w:r>
        <w:rPr>
          <w:rFonts w:ascii="Times New Roman" w:eastAsia="Calibri" w:hAnsi="Times New Roman" w:cs="Times New Roman"/>
          <w:sz w:val="24"/>
          <w:szCs w:val="24"/>
          <w:lang w:val="en-GB" w:eastAsia="en-US"/>
        </w:rPr>
        <w:t xml:space="preserve">the </w:t>
      </w:r>
      <w:r w:rsidR="006542C7" w:rsidRPr="006542C7">
        <w:rPr>
          <w:rFonts w:ascii="Times New Roman" w:eastAsia="Calibri" w:hAnsi="Times New Roman" w:cs="Times New Roman"/>
          <w:sz w:val="24"/>
          <w:szCs w:val="24"/>
          <w:lang w:val="en-GB" w:eastAsia="en-US"/>
        </w:rPr>
        <w:t>economics of innovation</w:t>
      </w:r>
      <w:r>
        <w:rPr>
          <w:rFonts w:ascii="Times New Roman" w:eastAsia="Calibri" w:hAnsi="Times New Roman" w:cs="Times New Roman"/>
          <w:sz w:val="24"/>
          <w:szCs w:val="24"/>
          <w:lang w:val="en-GB" w:eastAsia="en-US"/>
        </w:rPr>
        <w:t>, which studies</w:t>
      </w:r>
      <w:r w:rsidR="006542C7" w:rsidRPr="006542C7">
        <w:rPr>
          <w:rFonts w:ascii="Times New Roman" w:eastAsia="Calibri" w:hAnsi="Times New Roman" w:cs="Times New Roman"/>
          <w:sz w:val="24"/>
          <w:szCs w:val="24"/>
          <w:lang w:val="en-GB" w:eastAsia="en-US"/>
        </w:rPr>
        <w:t xml:space="preserve"> the economic determinants and impacts of innovation and how these differ across countries, regions, sectors and firms. The second is related to systems </w:t>
      </w:r>
      <w:r>
        <w:rPr>
          <w:rFonts w:ascii="Times New Roman" w:eastAsia="Calibri" w:hAnsi="Times New Roman" w:cs="Times New Roman"/>
          <w:sz w:val="24"/>
          <w:szCs w:val="24"/>
          <w:lang w:val="en-GB" w:eastAsia="en-US"/>
        </w:rPr>
        <w:t xml:space="preserve">of innovation, the process of </w:t>
      </w:r>
      <w:r w:rsidR="006542C7" w:rsidRPr="006542C7">
        <w:rPr>
          <w:rFonts w:ascii="Times New Roman" w:eastAsia="Calibri" w:hAnsi="Times New Roman" w:cs="Times New Roman"/>
          <w:sz w:val="24"/>
          <w:szCs w:val="24"/>
          <w:lang w:val="en-GB" w:eastAsia="en-US"/>
        </w:rPr>
        <w:t xml:space="preserve">transitions </w:t>
      </w:r>
      <w:r>
        <w:rPr>
          <w:rFonts w:ascii="Times New Roman" w:eastAsia="Calibri" w:hAnsi="Times New Roman" w:cs="Times New Roman"/>
          <w:sz w:val="24"/>
          <w:szCs w:val="24"/>
          <w:lang w:val="en-GB" w:eastAsia="en-US"/>
        </w:rPr>
        <w:t xml:space="preserve">and structural change of these, and the interplay between public policies and private sector innovative strategies – with </w:t>
      </w:r>
      <w:r w:rsidR="006542C7" w:rsidRPr="006542C7">
        <w:rPr>
          <w:rFonts w:ascii="Times New Roman" w:eastAsia="Calibri" w:hAnsi="Times New Roman" w:cs="Times New Roman"/>
          <w:sz w:val="24"/>
          <w:szCs w:val="24"/>
          <w:lang w:val="en-GB" w:eastAsia="en-US"/>
        </w:rPr>
        <w:t>a special emphasis on natural sources and renewable energy</w:t>
      </w:r>
      <w:r>
        <w:rPr>
          <w:rFonts w:ascii="Times New Roman" w:eastAsia="Calibri" w:hAnsi="Times New Roman" w:cs="Times New Roman"/>
          <w:sz w:val="24"/>
          <w:szCs w:val="24"/>
          <w:lang w:val="en-GB" w:eastAsia="en-US"/>
        </w:rPr>
        <w:t xml:space="preserve"> innovations</w:t>
      </w:r>
      <w:r w:rsidR="006542C7" w:rsidRPr="006542C7">
        <w:rPr>
          <w:rFonts w:ascii="Times New Roman" w:eastAsia="Calibri" w:hAnsi="Times New Roman" w:cs="Times New Roman"/>
          <w:sz w:val="24"/>
          <w:szCs w:val="24"/>
          <w:lang w:val="en-GB" w:eastAsia="en-US"/>
        </w:rPr>
        <w:t xml:space="preserve">. The third </w:t>
      </w:r>
      <w:r>
        <w:rPr>
          <w:rFonts w:ascii="Times New Roman" w:eastAsia="Calibri" w:hAnsi="Times New Roman" w:cs="Times New Roman"/>
          <w:sz w:val="24"/>
          <w:szCs w:val="24"/>
          <w:lang w:val="en-GB" w:eastAsia="en-US"/>
        </w:rPr>
        <w:t xml:space="preserve">main thematic area </w:t>
      </w:r>
      <w:r w:rsidR="006542C7" w:rsidRPr="006542C7">
        <w:rPr>
          <w:rFonts w:ascii="Times New Roman" w:eastAsia="Calibri" w:hAnsi="Times New Roman" w:cs="Times New Roman"/>
          <w:sz w:val="24"/>
          <w:szCs w:val="24"/>
          <w:lang w:val="en-GB" w:eastAsia="en-US"/>
        </w:rPr>
        <w:t xml:space="preserve">is tied to how innovation and research activities are organised in networks and collaborative efforts within specific </w:t>
      </w:r>
      <w:r>
        <w:rPr>
          <w:rFonts w:ascii="Times New Roman" w:eastAsia="Calibri" w:hAnsi="Times New Roman" w:cs="Times New Roman"/>
          <w:sz w:val="24"/>
          <w:szCs w:val="24"/>
          <w:lang w:val="en-GB" w:eastAsia="en-US"/>
        </w:rPr>
        <w:t xml:space="preserve">industries and other </w:t>
      </w:r>
      <w:r w:rsidR="006542C7" w:rsidRPr="006542C7">
        <w:rPr>
          <w:rFonts w:ascii="Times New Roman" w:eastAsia="Calibri" w:hAnsi="Times New Roman" w:cs="Times New Roman"/>
          <w:sz w:val="24"/>
          <w:szCs w:val="24"/>
          <w:lang w:val="en-GB" w:eastAsia="en-US"/>
        </w:rPr>
        <w:t xml:space="preserve">settings. </w:t>
      </w:r>
    </w:p>
    <w:p w:rsidR="007467AE" w:rsidRDefault="007467AE" w:rsidP="0008038A">
      <w:pPr>
        <w:spacing w:after="0" w:line="240" w:lineRule="auto"/>
        <w:contextualSpacing/>
        <w:jc w:val="both"/>
        <w:rPr>
          <w:rFonts w:ascii="Times New Roman" w:eastAsia="Calibri" w:hAnsi="Times New Roman" w:cs="Times New Roman"/>
          <w:sz w:val="24"/>
          <w:szCs w:val="24"/>
          <w:lang w:val="en-GB" w:eastAsia="en-US"/>
        </w:rPr>
      </w:pPr>
    </w:p>
    <w:p w:rsidR="00B524F1" w:rsidRDefault="00AF755C"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All three thematic areas have a common focus on the creation and diffusion of innovation in firms and public organizations, which explain their relevance for the economic-administrative discipline. More specific c</w:t>
      </w:r>
      <w:r w:rsidR="006542C7" w:rsidRPr="006542C7">
        <w:rPr>
          <w:rFonts w:ascii="Times New Roman" w:eastAsia="Calibri" w:hAnsi="Times New Roman" w:cs="Times New Roman"/>
          <w:sz w:val="24"/>
          <w:szCs w:val="24"/>
          <w:lang w:val="en-GB" w:eastAsia="en-US"/>
        </w:rPr>
        <w:t xml:space="preserve">haracteristics that are common to the three thematic areas are an explicit focus on science and innovation policy, a Schumpeterian/evolutionary perspective on innovation </w:t>
      </w:r>
      <w:r w:rsidR="007467AE">
        <w:rPr>
          <w:rFonts w:ascii="Times New Roman" w:eastAsia="Calibri" w:hAnsi="Times New Roman" w:cs="Times New Roman"/>
          <w:sz w:val="24"/>
          <w:szCs w:val="24"/>
          <w:lang w:val="en-GB" w:eastAsia="en-US"/>
        </w:rPr>
        <w:t>in private firms and public organizations</w:t>
      </w:r>
      <w:r w:rsidR="006542C7" w:rsidRPr="006542C7">
        <w:rPr>
          <w:rFonts w:ascii="Times New Roman" w:eastAsia="Calibri" w:hAnsi="Times New Roman" w:cs="Times New Roman"/>
          <w:sz w:val="24"/>
          <w:szCs w:val="24"/>
          <w:lang w:val="en-GB" w:eastAsia="en-US"/>
        </w:rPr>
        <w:t xml:space="preserve">, and the attempt to combine insights from qualitative and quantitative empirical research. With the </w:t>
      </w:r>
      <w:r w:rsidR="007467AE">
        <w:rPr>
          <w:rFonts w:ascii="Times New Roman" w:eastAsia="Calibri" w:hAnsi="Times New Roman" w:cs="Times New Roman"/>
          <w:sz w:val="24"/>
          <w:szCs w:val="24"/>
          <w:lang w:val="en-GB" w:eastAsia="en-US"/>
        </w:rPr>
        <w:t xml:space="preserve">establishment of the new </w:t>
      </w:r>
      <w:r w:rsidR="006542C7" w:rsidRPr="006542C7">
        <w:rPr>
          <w:rFonts w:ascii="Times New Roman" w:eastAsia="Calibri" w:hAnsi="Times New Roman" w:cs="Times New Roman"/>
          <w:sz w:val="24"/>
          <w:szCs w:val="24"/>
          <w:lang w:val="en-GB" w:eastAsia="en-US"/>
        </w:rPr>
        <w:t xml:space="preserve">eight-year OSIRIS research centre, oriented at understanding the preconditions for impact of science, </w:t>
      </w:r>
      <w:r w:rsidR="007467AE">
        <w:rPr>
          <w:rFonts w:ascii="Times New Roman" w:eastAsia="Calibri" w:hAnsi="Times New Roman" w:cs="Times New Roman"/>
          <w:sz w:val="24"/>
          <w:szCs w:val="24"/>
          <w:lang w:val="en-GB" w:eastAsia="en-US"/>
        </w:rPr>
        <w:t>innovation studies research at TIK</w:t>
      </w:r>
      <w:r w:rsidR="006542C7" w:rsidRPr="006542C7">
        <w:rPr>
          <w:rFonts w:ascii="Times New Roman" w:eastAsia="Calibri" w:hAnsi="Times New Roman" w:cs="Times New Roman"/>
          <w:sz w:val="24"/>
          <w:szCs w:val="24"/>
          <w:lang w:val="en-GB" w:eastAsia="en-US"/>
        </w:rPr>
        <w:t xml:space="preserve"> has </w:t>
      </w:r>
      <w:r w:rsidR="007467AE">
        <w:rPr>
          <w:rFonts w:ascii="Times New Roman" w:eastAsia="Calibri" w:hAnsi="Times New Roman" w:cs="Times New Roman"/>
          <w:sz w:val="24"/>
          <w:szCs w:val="24"/>
          <w:lang w:val="en-GB" w:eastAsia="en-US"/>
        </w:rPr>
        <w:t xml:space="preserve">recently </w:t>
      </w:r>
      <w:r w:rsidR="006542C7" w:rsidRPr="006542C7">
        <w:rPr>
          <w:rFonts w:ascii="Times New Roman" w:eastAsia="Calibri" w:hAnsi="Times New Roman" w:cs="Times New Roman"/>
          <w:sz w:val="24"/>
          <w:szCs w:val="24"/>
          <w:lang w:val="en-GB" w:eastAsia="en-US"/>
        </w:rPr>
        <w:t>strengthened its science policy profile significantly.</w:t>
      </w:r>
    </w:p>
    <w:p w:rsidR="006542C7" w:rsidRDefault="006542C7" w:rsidP="0008038A">
      <w:pPr>
        <w:spacing w:after="0" w:line="240" w:lineRule="auto"/>
        <w:contextualSpacing/>
        <w:jc w:val="both"/>
        <w:rPr>
          <w:rFonts w:ascii="Times New Roman" w:eastAsia="Calibri" w:hAnsi="Times New Roman" w:cs="Times New Roman"/>
          <w:sz w:val="24"/>
          <w:szCs w:val="24"/>
          <w:lang w:val="en-GB" w:eastAsia="en-US"/>
        </w:rPr>
      </w:pPr>
    </w:p>
    <w:p w:rsidR="006542C7" w:rsidRDefault="007467AE" w:rsidP="006542C7">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TIK’s innovation research is primarily intended for an international academic audience, and it is typically published in prestigious academic outlets in the field – such as the </w:t>
      </w:r>
      <w:r w:rsidR="006D54CF">
        <w:rPr>
          <w:rFonts w:ascii="Times New Roman" w:eastAsia="Calibri" w:hAnsi="Times New Roman" w:cs="Times New Roman"/>
          <w:sz w:val="24"/>
          <w:szCs w:val="24"/>
          <w:lang w:val="en-GB" w:eastAsia="en-US"/>
        </w:rPr>
        <w:t xml:space="preserve">top </w:t>
      </w:r>
      <w:r>
        <w:rPr>
          <w:rFonts w:ascii="Times New Roman" w:eastAsia="Calibri" w:hAnsi="Times New Roman" w:cs="Times New Roman"/>
          <w:sz w:val="24"/>
          <w:szCs w:val="24"/>
          <w:lang w:val="en-GB" w:eastAsia="en-US"/>
        </w:rPr>
        <w:t xml:space="preserve">journal </w:t>
      </w:r>
      <w:r w:rsidR="006D54CF">
        <w:rPr>
          <w:rFonts w:ascii="Times New Roman" w:eastAsia="Calibri" w:hAnsi="Times New Roman" w:cs="Times New Roman"/>
          <w:sz w:val="24"/>
          <w:szCs w:val="24"/>
          <w:lang w:val="en-GB" w:eastAsia="en-US"/>
        </w:rPr>
        <w:t xml:space="preserve">in the field of innovation studies, </w:t>
      </w:r>
      <w:r w:rsidRPr="007467AE">
        <w:rPr>
          <w:rFonts w:ascii="Times New Roman" w:eastAsia="Calibri" w:hAnsi="Times New Roman" w:cs="Times New Roman"/>
          <w:i/>
          <w:sz w:val="24"/>
          <w:szCs w:val="24"/>
          <w:lang w:val="en-GB" w:eastAsia="en-US"/>
        </w:rPr>
        <w:t>Research Policy</w:t>
      </w:r>
      <w:r>
        <w:rPr>
          <w:rFonts w:ascii="Times New Roman" w:eastAsia="Calibri" w:hAnsi="Times New Roman" w:cs="Times New Roman"/>
          <w:sz w:val="24"/>
          <w:szCs w:val="24"/>
          <w:lang w:val="en-GB" w:eastAsia="en-US"/>
        </w:rPr>
        <w:t>, among many others. Much of this research has high international visibility and impacts in the academic community (e.g. as measured in terms of citations statistics and other bibliometric indicators).</w:t>
      </w:r>
    </w:p>
    <w:p w:rsidR="006542C7" w:rsidRPr="006542C7" w:rsidRDefault="006542C7" w:rsidP="006542C7">
      <w:pPr>
        <w:spacing w:after="0" w:line="240" w:lineRule="auto"/>
        <w:contextualSpacing/>
        <w:jc w:val="both"/>
        <w:rPr>
          <w:rFonts w:ascii="Times New Roman" w:eastAsia="Calibri" w:hAnsi="Times New Roman" w:cs="Times New Roman"/>
          <w:sz w:val="24"/>
          <w:szCs w:val="24"/>
          <w:lang w:val="en-GB" w:eastAsia="en-US"/>
        </w:rPr>
      </w:pPr>
    </w:p>
    <w:p w:rsidR="006542C7" w:rsidRDefault="007467AE" w:rsidP="006542C7">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Some selected examples of important research contributions by TIK’s innovation scholars can be noted. One is the authoritative mapping of the emerging field of innovation studies done by Jan Fagerberg during the last ten years. This research resulted in the publication of the </w:t>
      </w:r>
      <w:r w:rsidRPr="007467AE">
        <w:rPr>
          <w:rFonts w:ascii="Times New Roman" w:eastAsia="Calibri" w:hAnsi="Times New Roman" w:cs="Times New Roman"/>
          <w:i/>
          <w:sz w:val="24"/>
          <w:szCs w:val="24"/>
          <w:lang w:val="en-GB" w:eastAsia="en-US"/>
        </w:rPr>
        <w:t xml:space="preserve">Oxford </w:t>
      </w:r>
      <w:r w:rsidRPr="007467AE">
        <w:rPr>
          <w:rFonts w:ascii="Times New Roman" w:eastAsia="Calibri" w:hAnsi="Times New Roman" w:cs="Times New Roman"/>
          <w:i/>
          <w:sz w:val="24"/>
          <w:szCs w:val="24"/>
          <w:lang w:val="en-GB" w:eastAsia="en-US"/>
        </w:rPr>
        <w:lastRenderedPageBreak/>
        <w:t>H</w:t>
      </w:r>
      <w:r w:rsidR="006542C7" w:rsidRPr="007467AE">
        <w:rPr>
          <w:rFonts w:ascii="Times New Roman" w:eastAsia="Calibri" w:hAnsi="Times New Roman" w:cs="Times New Roman"/>
          <w:i/>
          <w:sz w:val="24"/>
          <w:szCs w:val="24"/>
          <w:lang w:val="en-GB" w:eastAsia="en-US"/>
        </w:rPr>
        <w:t>and</w:t>
      </w:r>
      <w:r w:rsidRPr="007467AE">
        <w:rPr>
          <w:rFonts w:ascii="Times New Roman" w:eastAsia="Calibri" w:hAnsi="Times New Roman" w:cs="Times New Roman"/>
          <w:i/>
          <w:sz w:val="24"/>
          <w:szCs w:val="24"/>
          <w:lang w:val="en-GB" w:eastAsia="en-US"/>
        </w:rPr>
        <w:t>book of I</w:t>
      </w:r>
      <w:r w:rsidR="006542C7" w:rsidRPr="007467AE">
        <w:rPr>
          <w:rFonts w:ascii="Times New Roman" w:eastAsia="Calibri" w:hAnsi="Times New Roman" w:cs="Times New Roman"/>
          <w:i/>
          <w:sz w:val="24"/>
          <w:szCs w:val="24"/>
          <w:lang w:val="en-GB" w:eastAsia="en-US"/>
        </w:rPr>
        <w:t>nnovation</w:t>
      </w:r>
      <w:r w:rsidR="006542C7" w:rsidRPr="006542C7">
        <w:rPr>
          <w:rFonts w:ascii="Times New Roman" w:eastAsia="Calibri" w:hAnsi="Times New Roman" w:cs="Times New Roman"/>
          <w:sz w:val="24"/>
          <w:szCs w:val="24"/>
          <w:lang w:val="en-GB" w:eastAsia="en-US"/>
        </w:rPr>
        <w:t xml:space="preserve"> (Fagerberg et al., Oxford University Press, 2005; 1400 + citations in Google Scholar</w:t>
      </w:r>
      <w:r>
        <w:rPr>
          <w:rFonts w:ascii="Times New Roman" w:eastAsia="Calibri" w:hAnsi="Times New Roman" w:cs="Times New Roman"/>
          <w:sz w:val="24"/>
          <w:szCs w:val="24"/>
          <w:lang w:val="en-GB" w:eastAsia="en-US"/>
        </w:rPr>
        <w:t xml:space="preserve">); and </w:t>
      </w:r>
      <w:r w:rsidR="006542C7" w:rsidRPr="006542C7">
        <w:rPr>
          <w:rFonts w:ascii="Times New Roman" w:eastAsia="Calibri" w:hAnsi="Times New Roman" w:cs="Times New Roman"/>
          <w:sz w:val="24"/>
          <w:szCs w:val="24"/>
          <w:lang w:val="en-GB" w:eastAsia="en-US"/>
        </w:rPr>
        <w:t xml:space="preserve">later also </w:t>
      </w:r>
      <w:r>
        <w:rPr>
          <w:rFonts w:ascii="Times New Roman" w:eastAsia="Calibri" w:hAnsi="Times New Roman" w:cs="Times New Roman"/>
          <w:sz w:val="24"/>
          <w:szCs w:val="24"/>
          <w:lang w:val="en-GB" w:eastAsia="en-US"/>
        </w:rPr>
        <w:t xml:space="preserve">the </w:t>
      </w:r>
      <w:r w:rsidR="006542C7" w:rsidRPr="006542C7">
        <w:rPr>
          <w:rFonts w:ascii="Times New Roman" w:eastAsia="Calibri" w:hAnsi="Times New Roman" w:cs="Times New Roman"/>
          <w:sz w:val="24"/>
          <w:szCs w:val="24"/>
          <w:lang w:val="en-GB" w:eastAsia="en-US"/>
        </w:rPr>
        <w:t xml:space="preserve">special issue </w:t>
      </w:r>
      <w:r>
        <w:rPr>
          <w:rFonts w:ascii="Times New Roman" w:eastAsia="Calibri" w:hAnsi="Times New Roman" w:cs="Times New Roman"/>
          <w:sz w:val="24"/>
          <w:szCs w:val="24"/>
          <w:lang w:val="en-GB" w:eastAsia="en-US"/>
        </w:rPr>
        <w:t>in</w:t>
      </w:r>
      <w:r w:rsidR="006542C7" w:rsidRPr="006542C7">
        <w:rPr>
          <w:rFonts w:ascii="Times New Roman" w:eastAsia="Calibri" w:hAnsi="Times New Roman" w:cs="Times New Roman"/>
          <w:sz w:val="24"/>
          <w:szCs w:val="24"/>
          <w:lang w:val="en-GB" w:eastAsia="en-US"/>
        </w:rPr>
        <w:t xml:space="preserve"> </w:t>
      </w:r>
      <w:r w:rsidR="006542C7" w:rsidRPr="007467AE">
        <w:rPr>
          <w:rFonts w:ascii="Times New Roman" w:eastAsia="Calibri" w:hAnsi="Times New Roman" w:cs="Times New Roman"/>
          <w:i/>
          <w:sz w:val="24"/>
          <w:szCs w:val="24"/>
          <w:lang w:val="en-GB" w:eastAsia="en-US"/>
        </w:rPr>
        <w:t>Research Policy</w:t>
      </w:r>
      <w:r w:rsidR="006542C7" w:rsidRPr="006542C7">
        <w:rPr>
          <w:rFonts w:ascii="Times New Roman" w:eastAsia="Calibri" w:hAnsi="Times New Roman" w:cs="Times New Roman"/>
          <w:sz w:val="24"/>
          <w:szCs w:val="24"/>
          <w:lang w:val="en-GB" w:eastAsia="en-US"/>
        </w:rPr>
        <w:t xml:space="preserve"> (2012). </w:t>
      </w:r>
    </w:p>
    <w:p w:rsidR="007467AE" w:rsidRPr="006542C7" w:rsidRDefault="007467AE" w:rsidP="006542C7">
      <w:pPr>
        <w:spacing w:after="0" w:line="240" w:lineRule="auto"/>
        <w:contextualSpacing/>
        <w:jc w:val="both"/>
        <w:rPr>
          <w:rFonts w:ascii="Times New Roman" w:eastAsia="Calibri" w:hAnsi="Times New Roman" w:cs="Times New Roman"/>
          <w:sz w:val="24"/>
          <w:szCs w:val="24"/>
          <w:lang w:val="en-GB" w:eastAsia="en-US"/>
        </w:rPr>
      </w:pPr>
    </w:p>
    <w:p w:rsidR="006542C7" w:rsidRDefault="007467AE" w:rsidP="006542C7">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Another research strand has investigated s</w:t>
      </w:r>
      <w:r w:rsidR="006542C7" w:rsidRPr="006542C7">
        <w:rPr>
          <w:rFonts w:ascii="Times New Roman" w:eastAsia="Calibri" w:hAnsi="Times New Roman" w:cs="Times New Roman"/>
          <w:sz w:val="24"/>
          <w:szCs w:val="24"/>
          <w:lang w:val="en-GB" w:eastAsia="en-US"/>
        </w:rPr>
        <w:t xml:space="preserve">ectoral differences in innovation </w:t>
      </w:r>
      <w:r>
        <w:rPr>
          <w:rFonts w:ascii="Times New Roman" w:eastAsia="Calibri" w:hAnsi="Times New Roman" w:cs="Times New Roman"/>
          <w:sz w:val="24"/>
          <w:szCs w:val="24"/>
          <w:lang w:val="en-GB" w:eastAsia="en-US"/>
        </w:rPr>
        <w:t xml:space="preserve">activities </w:t>
      </w:r>
      <w:r w:rsidR="006542C7" w:rsidRPr="006542C7">
        <w:rPr>
          <w:rFonts w:ascii="Times New Roman" w:eastAsia="Calibri" w:hAnsi="Times New Roman" w:cs="Times New Roman"/>
          <w:sz w:val="24"/>
          <w:szCs w:val="24"/>
          <w:lang w:val="en-GB" w:eastAsia="en-US"/>
        </w:rPr>
        <w:t>in manufacturing and service industries</w:t>
      </w:r>
      <w:r>
        <w:rPr>
          <w:rFonts w:ascii="Times New Roman" w:eastAsia="Calibri" w:hAnsi="Times New Roman" w:cs="Times New Roman"/>
          <w:sz w:val="24"/>
          <w:szCs w:val="24"/>
          <w:lang w:val="en-GB" w:eastAsia="en-US"/>
        </w:rPr>
        <w:t xml:space="preserve">, and how firms’ innovative activities are shaped by sectoral characteristics and the </w:t>
      </w:r>
      <w:r w:rsidR="00D05717">
        <w:rPr>
          <w:rFonts w:ascii="Times New Roman" w:eastAsia="Calibri" w:hAnsi="Times New Roman" w:cs="Times New Roman"/>
          <w:sz w:val="24"/>
          <w:szCs w:val="24"/>
          <w:lang w:val="en-GB" w:eastAsia="en-US"/>
        </w:rPr>
        <w:t xml:space="preserve">innovation </w:t>
      </w:r>
      <w:r>
        <w:rPr>
          <w:rFonts w:ascii="Times New Roman" w:eastAsia="Calibri" w:hAnsi="Times New Roman" w:cs="Times New Roman"/>
          <w:sz w:val="24"/>
          <w:szCs w:val="24"/>
          <w:lang w:val="en-GB" w:eastAsia="en-US"/>
        </w:rPr>
        <w:t>policy framework</w:t>
      </w:r>
      <w:r w:rsidR="006542C7" w:rsidRPr="006542C7">
        <w:rPr>
          <w:rFonts w:ascii="Times New Roman" w:eastAsia="Calibri" w:hAnsi="Times New Roman" w:cs="Times New Roman"/>
          <w:sz w:val="24"/>
          <w:szCs w:val="24"/>
          <w:lang w:val="en-GB" w:eastAsia="en-US"/>
        </w:rPr>
        <w:t xml:space="preserve"> (Castellacci, </w:t>
      </w:r>
      <w:r w:rsidR="006542C7" w:rsidRPr="007467AE">
        <w:rPr>
          <w:rFonts w:ascii="Times New Roman" w:eastAsia="Calibri" w:hAnsi="Times New Roman" w:cs="Times New Roman"/>
          <w:i/>
          <w:sz w:val="24"/>
          <w:szCs w:val="24"/>
          <w:lang w:val="en-GB" w:eastAsia="en-US"/>
        </w:rPr>
        <w:t>Research Policy</w:t>
      </w:r>
      <w:r w:rsidR="006542C7" w:rsidRPr="006542C7">
        <w:rPr>
          <w:rFonts w:ascii="Times New Roman" w:eastAsia="Calibri" w:hAnsi="Times New Roman" w:cs="Times New Roman"/>
          <w:sz w:val="24"/>
          <w:szCs w:val="24"/>
          <w:lang w:val="en-GB" w:eastAsia="en-US"/>
        </w:rPr>
        <w:t>, 2008; 400 + citations in Google Scholar</w:t>
      </w:r>
      <w:r>
        <w:rPr>
          <w:rFonts w:ascii="Times New Roman" w:eastAsia="Calibri" w:hAnsi="Times New Roman" w:cs="Times New Roman"/>
          <w:sz w:val="24"/>
          <w:szCs w:val="24"/>
          <w:lang w:val="en-GB" w:eastAsia="en-US"/>
        </w:rPr>
        <w:t xml:space="preserve">; and the </w:t>
      </w:r>
      <w:r w:rsidR="006542C7" w:rsidRPr="006542C7">
        <w:rPr>
          <w:rFonts w:ascii="Times New Roman" w:eastAsia="Calibri" w:hAnsi="Times New Roman" w:cs="Times New Roman"/>
          <w:sz w:val="24"/>
          <w:szCs w:val="24"/>
          <w:lang w:val="en-GB" w:eastAsia="en-US"/>
        </w:rPr>
        <w:t xml:space="preserve">special issue of </w:t>
      </w:r>
      <w:r w:rsidR="006542C7" w:rsidRPr="007467AE">
        <w:rPr>
          <w:rFonts w:ascii="Times New Roman" w:eastAsia="Calibri" w:hAnsi="Times New Roman" w:cs="Times New Roman"/>
          <w:i/>
          <w:sz w:val="24"/>
          <w:szCs w:val="24"/>
          <w:lang w:val="en-GB" w:eastAsia="en-US"/>
        </w:rPr>
        <w:t>Industrial and Corporate Change</w:t>
      </w:r>
      <w:r>
        <w:rPr>
          <w:rFonts w:ascii="Times New Roman" w:eastAsia="Calibri" w:hAnsi="Times New Roman" w:cs="Times New Roman"/>
          <w:sz w:val="24"/>
          <w:szCs w:val="24"/>
          <w:lang w:val="en-GB" w:eastAsia="en-US"/>
        </w:rPr>
        <w:t xml:space="preserve"> in </w:t>
      </w:r>
      <w:r w:rsidR="006542C7" w:rsidRPr="006542C7">
        <w:rPr>
          <w:rFonts w:ascii="Times New Roman" w:eastAsia="Calibri" w:hAnsi="Times New Roman" w:cs="Times New Roman"/>
          <w:sz w:val="24"/>
          <w:szCs w:val="24"/>
          <w:lang w:val="en-GB" w:eastAsia="en-US"/>
        </w:rPr>
        <w:t>2012</w:t>
      </w:r>
      <w:r w:rsidR="00D05717">
        <w:rPr>
          <w:rFonts w:ascii="Times New Roman" w:eastAsia="Calibri" w:hAnsi="Times New Roman" w:cs="Times New Roman"/>
          <w:sz w:val="24"/>
          <w:szCs w:val="24"/>
          <w:lang w:val="en-GB" w:eastAsia="en-US"/>
        </w:rPr>
        <w:t xml:space="preserve"> by</w:t>
      </w:r>
      <w:r w:rsidR="006542C7" w:rsidRPr="006542C7">
        <w:rPr>
          <w:rFonts w:ascii="Times New Roman" w:eastAsia="Calibri" w:hAnsi="Times New Roman" w:cs="Times New Roman"/>
          <w:sz w:val="24"/>
          <w:szCs w:val="24"/>
          <w:lang w:val="en-GB" w:eastAsia="en-US"/>
        </w:rPr>
        <w:t xml:space="preserve"> Fagerberg et al.).</w:t>
      </w:r>
    </w:p>
    <w:p w:rsidR="006542C7" w:rsidRPr="006542C7" w:rsidRDefault="006542C7" w:rsidP="006542C7">
      <w:pPr>
        <w:spacing w:after="0" w:line="240" w:lineRule="auto"/>
        <w:contextualSpacing/>
        <w:jc w:val="both"/>
        <w:rPr>
          <w:rFonts w:ascii="Times New Roman" w:eastAsia="Calibri" w:hAnsi="Times New Roman" w:cs="Times New Roman"/>
          <w:sz w:val="24"/>
          <w:szCs w:val="24"/>
          <w:lang w:val="en-GB" w:eastAsia="en-US"/>
        </w:rPr>
      </w:pPr>
    </w:p>
    <w:p w:rsidR="006542C7" w:rsidRDefault="00D05717" w:rsidP="006542C7">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Thirdly, several published papers by Gulbrandsen and colleagues have analysed </w:t>
      </w:r>
      <w:r w:rsidR="006542C7" w:rsidRPr="006542C7">
        <w:rPr>
          <w:rFonts w:ascii="Times New Roman" w:eastAsia="Calibri" w:hAnsi="Times New Roman" w:cs="Times New Roman"/>
          <w:sz w:val="24"/>
          <w:szCs w:val="24"/>
          <w:lang w:val="en-GB" w:eastAsia="en-US"/>
        </w:rPr>
        <w:t xml:space="preserve">university-industry relations (Gulbrandsen and Smeby, </w:t>
      </w:r>
      <w:r w:rsidR="006542C7" w:rsidRPr="00D05717">
        <w:rPr>
          <w:rFonts w:ascii="Times New Roman" w:eastAsia="Calibri" w:hAnsi="Times New Roman" w:cs="Times New Roman"/>
          <w:i/>
          <w:sz w:val="24"/>
          <w:szCs w:val="24"/>
          <w:lang w:val="en-GB" w:eastAsia="en-US"/>
        </w:rPr>
        <w:t>Research Policy</w:t>
      </w:r>
      <w:r w:rsidR="006542C7" w:rsidRPr="006542C7">
        <w:rPr>
          <w:rFonts w:ascii="Times New Roman" w:eastAsia="Calibri" w:hAnsi="Times New Roman" w:cs="Times New Roman"/>
          <w:sz w:val="24"/>
          <w:szCs w:val="24"/>
          <w:lang w:val="en-GB" w:eastAsia="en-US"/>
        </w:rPr>
        <w:t>, 2005; 500 + citations in Google Scholar</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 xml:space="preserve">and the </w:t>
      </w:r>
      <w:r w:rsidR="006542C7" w:rsidRPr="006542C7">
        <w:rPr>
          <w:rFonts w:ascii="Times New Roman" w:eastAsia="Calibri" w:hAnsi="Times New Roman" w:cs="Times New Roman"/>
          <w:sz w:val="24"/>
          <w:szCs w:val="24"/>
          <w:lang w:val="en-GB" w:eastAsia="en-US"/>
        </w:rPr>
        <w:t xml:space="preserve">special issue of </w:t>
      </w:r>
      <w:r w:rsidR="006542C7" w:rsidRPr="00D05717">
        <w:rPr>
          <w:rFonts w:ascii="Times New Roman" w:eastAsia="Calibri" w:hAnsi="Times New Roman" w:cs="Times New Roman"/>
          <w:i/>
          <w:sz w:val="24"/>
          <w:szCs w:val="24"/>
          <w:lang w:val="en-GB" w:eastAsia="en-US"/>
        </w:rPr>
        <w:t>Research Policy</w:t>
      </w:r>
      <w:r w:rsidR="006542C7" w:rsidRPr="006542C7">
        <w:rPr>
          <w:rFonts w:ascii="Times New Roman" w:eastAsia="Calibri" w:hAnsi="Times New Roman" w:cs="Times New Roman"/>
          <w:sz w:val="24"/>
          <w:szCs w:val="24"/>
          <w:lang w:val="en-GB" w:eastAsia="en-US"/>
        </w:rPr>
        <w:t xml:space="preserve"> in 2011 edited by Gulbrandsen et al.</w:t>
      </w:r>
      <w:r>
        <w:rPr>
          <w:rFonts w:ascii="Times New Roman" w:eastAsia="Calibri" w:hAnsi="Times New Roman" w:cs="Times New Roman"/>
          <w:sz w:val="24"/>
          <w:szCs w:val="24"/>
          <w:lang w:val="en-GB" w:eastAsia="en-US"/>
        </w:rPr>
        <w:t>).</w:t>
      </w:r>
    </w:p>
    <w:p w:rsidR="006542C7" w:rsidRDefault="006542C7" w:rsidP="006542C7">
      <w:pPr>
        <w:spacing w:after="0" w:line="240" w:lineRule="auto"/>
        <w:contextualSpacing/>
        <w:jc w:val="both"/>
        <w:rPr>
          <w:rFonts w:ascii="Times New Roman" w:eastAsia="Calibri" w:hAnsi="Times New Roman" w:cs="Times New Roman"/>
          <w:sz w:val="24"/>
          <w:szCs w:val="24"/>
          <w:lang w:val="en-GB" w:eastAsia="en-US"/>
        </w:rPr>
      </w:pPr>
    </w:p>
    <w:p w:rsidR="007467AE" w:rsidRDefault="00D05717" w:rsidP="007467AE">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Further, </w:t>
      </w:r>
      <w:r w:rsidR="007467AE" w:rsidRPr="006542C7">
        <w:rPr>
          <w:rFonts w:ascii="Times New Roman" w:eastAsia="Calibri" w:hAnsi="Times New Roman" w:cs="Times New Roman"/>
          <w:sz w:val="24"/>
          <w:szCs w:val="24"/>
          <w:lang w:val="en-GB" w:eastAsia="en-US"/>
        </w:rPr>
        <w:t>the book “Innovation, Path-Dependency, and Policy” (</w:t>
      </w:r>
      <w:r>
        <w:rPr>
          <w:rFonts w:ascii="Times New Roman" w:eastAsia="Calibri" w:hAnsi="Times New Roman" w:cs="Times New Roman"/>
          <w:sz w:val="24"/>
          <w:szCs w:val="24"/>
          <w:lang w:val="en-GB" w:eastAsia="en-US"/>
        </w:rPr>
        <w:t xml:space="preserve">Fagerberg et al., 2009, </w:t>
      </w:r>
      <w:r w:rsidR="007467AE" w:rsidRPr="006542C7">
        <w:rPr>
          <w:rFonts w:ascii="Times New Roman" w:eastAsia="Calibri" w:hAnsi="Times New Roman" w:cs="Times New Roman"/>
          <w:sz w:val="24"/>
          <w:szCs w:val="24"/>
          <w:lang w:val="en-GB" w:eastAsia="en-US"/>
        </w:rPr>
        <w:t>Oxford UP) is the central reference for the historical development of the Norwegian innovation system</w:t>
      </w:r>
      <w:r>
        <w:rPr>
          <w:rFonts w:ascii="Times New Roman" w:eastAsia="Calibri" w:hAnsi="Times New Roman" w:cs="Times New Roman"/>
          <w:sz w:val="24"/>
          <w:szCs w:val="24"/>
          <w:lang w:val="en-GB" w:eastAsia="en-US"/>
        </w:rPr>
        <w:t>, and it represents a good illustration of TIK’s research on innovation systems, which is currently focusing on the transition towards a renewable energy system</w:t>
      </w:r>
      <w:r w:rsidR="007467AE" w:rsidRPr="006542C7">
        <w:rPr>
          <w:rFonts w:ascii="Times New Roman" w:eastAsia="Calibri" w:hAnsi="Times New Roman" w:cs="Times New Roman"/>
          <w:sz w:val="24"/>
          <w:szCs w:val="24"/>
          <w:lang w:val="en-GB" w:eastAsia="en-US"/>
        </w:rPr>
        <w:t>.</w:t>
      </w:r>
    </w:p>
    <w:p w:rsidR="007467AE" w:rsidRPr="006542C7" w:rsidRDefault="007467AE" w:rsidP="006542C7">
      <w:pPr>
        <w:spacing w:after="0" w:line="240" w:lineRule="auto"/>
        <w:contextualSpacing/>
        <w:jc w:val="both"/>
        <w:rPr>
          <w:rFonts w:ascii="Times New Roman" w:eastAsia="Calibri" w:hAnsi="Times New Roman" w:cs="Times New Roman"/>
          <w:sz w:val="24"/>
          <w:szCs w:val="24"/>
          <w:lang w:val="en-GB" w:eastAsia="en-US"/>
        </w:rPr>
      </w:pPr>
    </w:p>
    <w:p w:rsidR="007467AE" w:rsidRDefault="00D05717" w:rsidP="006542C7">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A more recent strand of studies at TIK </w:t>
      </w:r>
      <w:r w:rsidR="006D54CF">
        <w:rPr>
          <w:rFonts w:ascii="Times New Roman" w:eastAsia="Calibri" w:hAnsi="Times New Roman" w:cs="Times New Roman"/>
          <w:sz w:val="24"/>
          <w:szCs w:val="24"/>
          <w:lang w:val="en-GB" w:eastAsia="en-US"/>
        </w:rPr>
        <w:t>is now</w:t>
      </w:r>
      <w:r>
        <w:rPr>
          <w:rFonts w:ascii="Times New Roman" w:eastAsia="Calibri" w:hAnsi="Times New Roman" w:cs="Times New Roman"/>
          <w:sz w:val="24"/>
          <w:szCs w:val="24"/>
          <w:lang w:val="en-GB" w:eastAsia="en-US"/>
        </w:rPr>
        <w:t xml:space="preserve"> carrying out research on innovation in the health sector, which lies at the intersection of health and innovation studies. An example of </w:t>
      </w:r>
      <w:r w:rsidR="006D54CF">
        <w:rPr>
          <w:rFonts w:ascii="Times New Roman" w:eastAsia="Calibri" w:hAnsi="Times New Roman" w:cs="Times New Roman"/>
          <w:sz w:val="24"/>
          <w:szCs w:val="24"/>
          <w:lang w:val="en-GB" w:eastAsia="en-US"/>
        </w:rPr>
        <w:t>published work in this area</w:t>
      </w:r>
      <w:r>
        <w:rPr>
          <w:rFonts w:ascii="Times New Roman" w:eastAsia="Calibri" w:hAnsi="Times New Roman" w:cs="Times New Roman"/>
          <w:sz w:val="24"/>
          <w:szCs w:val="24"/>
          <w:lang w:val="en-GB" w:eastAsia="en-US"/>
        </w:rPr>
        <w:t xml:space="preserve"> is for instance recent research u</w:t>
      </w:r>
      <w:r w:rsidR="006542C7" w:rsidRPr="006542C7">
        <w:rPr>
          <w:rFonts w:ascii="Times New Roman" w:eastAsia="Calibri" w:hAnsi="Times New Roman" w:cs="Times New Roman"/>
          <w:sz w:val="24"/>
          <w:szCs w:val="24"/>
          <w:lang w:val="en-GB" w:eastAsia="en-US"/>
        </w:rPr>
        <w:t xml:space="preserve">npacking medical innovation and the role of hospitals (Gulbrandsen et al. 2016, Thune &amp; Mina 2016, special issue in </w:t>
      </w:r>
      <w:r w:rsidR="006542C7" w:rsidRPr="00D05717">
        <w:rPr>
          <w:rFonts w:ascii="Times New Roman" w:eastAsia="Calibri" w:hAnsi="Times New Roman" w:cs="Times New Roman"/>
          <w:i/>
          <w:sz w:val="24"/>
          <w:szCs w:val="24"/>
          <w:lang w:val="en-GB" w:eastAsia="en-US"/>
        </w:rPr>
        <w:t>Research Policy</w:t>
      </w:r>
      <w:r w:rsidR="006542C7" w:rsidRPr="006542C7">
        <w:rPr>
          <w:rFonts w:ascii="Times New Roman" w:eastAsia="Calibri" w:hAnsi="Times New Roman" w:cs="Times New Roman"/>
          <w:sz w:val="24"/>
          <w:szCs w:val="24"/>
          <w:lang w:val="en-GB" w:eastAsia="en-US"/>
        </w:rPr>
        <w:t xml:space="preserve"> in 2016). </w:t>
      </w:r>
    </w:p>
    <w:p w:rsidR="00D05717" w:rsidRDefault="00D05717" w:rsidP="006542C7">
      <w:pPr>
        <w:spacing w:after="0" w:line="240" w:lineRule="auto"/>
        <w:contextualSpacing/>
        <w:jc w:val="both"/>
        <w:rPr>
          <w:rFonts w:ascii="Times New Roman" w:eastAsia="Calibri" w:hAnsi="Times New Roman" w:cs="Times New Roman"/>
          <w:sz w:val="24"/>
          <w:szCs w:val="24"/>
          <w:lang w:val="en-GB" w:eastAsia="en-US"/>
        </w:rPr>
      </w:pPr>
    </w:p>
    <w:p w:rsidR="0008038A" w:rsidRPr="006D54CF" w:rsidRDefault="006D54CF" w:rsidP="006D54CF">
      <w:pPr>
        <w:keepNext/>
        <w:keepLines/>
        <w:spacing w:after="0" w:line="240" w:lineRule="auto"/>
        <w:outlineLvl w:val="1"/>
        <w:rPr>
          <w:rFonts w:ascii="Times New Roman" w:eastAsia="SimSun" w:hAnsi="Times New Roman" w:cs="Times New Roman"/>
          <w:bCs/>
          <w:sz w:val="24"/>
          <w:szCs w:val="24"/>
          <w:lang w:val="en-GB" w:eastAsia="nb-NO"/>
        </w:rPr>
      </w:pPr>
      <w:r>
        <w:rPr>
          <w:rFonts w:ascii="Times New Roman" w:eastAsia="SimSun" w:hAnsi="Times New Roman" w:cs="Times New Roman"/>
          <w:bCs/>
          <w:sz w:val="24"/>
          <w:szCs w:val="24"/>
          <w:lang w:val="en-GB" w:eastAsia="nb-NO"/>
        </w:rPr>
        <w:t>The following table provides a l</w:t>
      </w:r>
      <w:r w:rsidR="0008038A" w:rsidRPr="006D54CF">
        <w:rPr>
          <w:rFonts w:ascii="Times New Roman" w:eastAsia="SimSun" w:hAnsi="Times New Roman" w:cs="Times New Roman"/>
          <w:bCs/>
          <w:sz w:val="24"/>
          <w:szCs w:val="24"/>
          <w:lang w:val="en-GB" w:eastAsia="nb-NO"/>
        </w:rPr>
        <w:t xml:space="preserve">ist of </w:t>
      </w:r>
      <w:r>
        <w:rPr>
          <w:rFonts w:ascii="Times New Roman" w:eastAsia="SimSun" w:hAnsi="Times New Roman" w:cs="Times New Roman"/>
          <w:bCs/>
          <w:sz w:val="24"/>
          <w:szCs w:val="24"/>
          <w:lang w:val="en-GB" w:eastAsia="nb-NO"/>
        </w:rPr>
        <w:t>the ten</w:t>
      </w:r>
      <w:r w:rsidR="0008038A" w:rsidRPr="006D54CF">
        <w:rPr>
          <w:rFonts w:ascii="Times New Roman" w:eastAsia="SimSun" w:hAnsi="Times New Roman" w:cs="Times New Roman"/>
          <w:bCs/>
          <w:sz w:val="24"/>
          <w:szCs w:val="24"/>
          <w:lang w:val="en-GB" w:eastAsia="nb-NO"/>
        </w:rPr>
        <w:t xml:space="preserve"> most important publications </w:t>
      </w:r>
      <w:r>
        <w:rPr>
          <w:rFonts w:ascii="Times New Roman" w:eastAsia="SimSun" w:hAnsi="Times New Roman" w:cs="Times New Roman"/>
          <w:bCs/>
          <w:sz w:val="24"/>
          <w:szCs w:val="24"/>
          <w:lang w:val="en-GB" w:eastAsia="nb-NO"/>
        </w:rPr>
        <w:t xml:space="preserve">in innovation studies at TIK during </w:t>
      </w:r>
      <w:r w:rsidR="0008038A" w:rsidRPr="006D54CF">
        <w:rPr>
          <w:rFonts w:ascii="Times New Roman" w:eastAsia="SimSun" w:hAnsi="Times New Roman" w:cs="Times New Roman"/>
          <w:bCs/>
          <w:sz w:val="24"/>
          <w:szCs w:val="24"/>
          <w:lang w:val="en-GB" w:eastAsia="nb-NO"/>
        </w:rPr>
        <w:t xml:space="preserve">the last </w:t>
      </w:r>
      <w:r>
        <w:rPr>
          <w:rFonts w:ascii="Times New Roman" w:eastAsia="SimSun" w:hAnsi="Times New Roman" w:cs="Times New Roman"/>
          <w:bCs/>
          <w:sz w:val="24"/>
          <w:szCs w:val="24"/>
          <w:lang w:val="en-GB" w:eastAsia="nb-NO"/>
        </w:rPr>
        <w:t>ten</w:t>
      </w:r>
      <w:r w:rsidR="0008038A" w:rsidRPr="006D54CF">
        <w:rPr>
          <w:rFonts w:ascii="Times New Roman" w:eastAsia="SimSun" w:hAnsi="Times New Roman" w:cs="Times New Roman"/>
          <w:bCs/>
          <w:sz w:val="24"/>
          <w:szCs w:val="24"/>
          <w:lang w:val="en-GB" w:eastAsia="nb-NO"/>
        </w:rPr>
        <w:t xml:space="preserve"> years (</w:t>
      </w:r>
      <w:r>
        <w:rPr>
          <w:rFonts w:ascii="Times New Roman" w:eastAsia="SimSun" w:hAnsi="Times New Roman" w:cs="Times New Roman"/>
          <w:bCs/>
          <w:sz w:val="24"/>
          <w:szCs w:val="24"/>
          <w:lang w:val="en-GB" w:eastAsia="nb-NO"/>
        </w:rPr>
        <w:t>the list is presented</w:t>
      </w:r>
      <w:r w:rsidR="0008038A" w:rsidRPr="006D54CF">
        <w:rPr>
          <w:rFonts w:ascii="Times New Roman" w:eastAsia="SimSun" w:hAnsi="Times New Roman" w:cs="Times New Roman"/>
          <w:sz w:val="24"/>
          <w:szCs w:val="24"/>
          <w:lang w:val="en-GB" w:eastAsia="nb-NO"/>
        </w:rPr>
        <w:t xml:space="preserve"> in chronological order)</w:t>
      </w:r>
      <w:r>
        <w:rPr>
          <w:rFonts w:ascii="Times New Roman" w:eastAsia="SimSun" w:hAnsi="Times New Roman" w:cs="Times New Roman"/>
          <w:sz w:val="24"/>
          <w:szCs w:val="24"/>
          <w:lang w:val="en-GB" w:eastAsia="nb-NO"/>
        </w:rPr>
        <w:t>.</w:t>
      </w:r>
    </w:p>
    <w:p w:rsidR="0008038A" w:rsidRDefault="0008038A" w:rsidP="0008038A">
      <w:pPr>
        <w:spacing w:after="120" w:line="240" w:lineRule="auto"/>
        <w:rPr>
          <w:rFonts w:ascii="Times New Roman" w:eastAsia="SimSun" w:hAnsi="Times New Roman" w:cs="Times New Roman"/>
          <w:lang w:val="en-GB" w:eastAsia="nb-NO"/>
        </w:rPr>
      </w:pPr>
    </w:p>
    <w:tbl>
      <w:tblPr>
        <w:tblStyle w:val="TableGrid"/>
        <w:tblW w:w="5773" w:type="pct"/>
        <w:tblInd w:w="-743" w:type="dxa"/>
        <w:tblLook w:val="04A0" w:firstRow="1" w:lastRow="0" w:firstColumn="1" w:lastColumn="0" w:noHBand="0" w:noVBand="1"/>
      </w:tblPr>
      <w:tblGrid>
        <w:gridCol w:w="4798"/>
        <w:gridCol w:w="4898"/>
        <w:gridCol w:w="1360"/>
      </w:tblGrid>
      <w:tr w:rsidR="0008038A" w:rsidRPr="0008038A" w:rsidTr="00515627">
        <w:tc>
          <w:tcPr>
            <w:tcW w:w="2170" w:type="pct"/>
            <w:vAlign w:val="center"/>
          </w:tcPr>
          <w:p w:rsidR="0008038A" w:rsidRPr="0008038A" w:rsidRDefault="0008038A" w:rsidP="003D40A3">
            <w:pPr>
              <w:spacing w:before="120" w:after="120" w:line="240" w:lineRule="auto"/>
              <w:jc w:val="center"/>
              <w:rPr>
                <w:rFonts w:ascii="Times New Roman" w:eastAsia="SimSun" w:hAnsi="Times New Roman" w:cs="Times New Roman"/>
                <w:b/>
                <w:lang w:val="en-GB"/>
              </w:rPr>
            </w:pPr>
            <w:r w:rsidRPr="0008038A">
              <w:rPr>
                <w:rFonts w:ascii="Times New Roman" w:eastAsia="SimSun" w:hAnsi="Times New Roman" w:cs="Times New Roman"/>
                <w:b/>
                <w:lang w:val="en-GB"/>
              </w:rPr>
              <w:t>Publications</w:t>
            </w:r>
          </w:p>
        </w:tc>
        <w:tc>
          <w:tcPr>
            <w:tcW w:w="2215" w:type="pct"/>
            <w:vAlign w:val="center"/>
          </w:tcPr>
          <w:p w:rsidR="0008038A" w:rsidRPr="0008038A" w:rsidRDefault="0008038A" w:rsidP="003D40A3">
            <w:pPr>
              <w:spacing w:before="120" w:after="120" w:line="240" w:lineRule="auto"/>
              <w:jc w:val="center"/>
              <w:rPr>
                <w:rFonts w:ascii="Times New Roman" w:eastAsia="SimSun" w:hAnsi="Times New Roman" w:cs="Times New Roman"/>
                <w:b/>
                <w:lang w:val="en-GB"/>
              </w:rPr>
            </w:pPr>
            <w:r w:rsidRPr="0008038A">
              <w:rPr>
                <w:rFonts w:ascii="Times New Roman" w:eastAsia="SimSun" w:hAnsi="Times New Roman" w:cs="Times New Roman"/>
                <w:b/>
                <w:lang w:val="en-GB"/>
              </w:rPr>
              <w:t xml:space="preserve">DOI, URL </w:t>
            </w:r>
            <w:r w:rsidRPr="0008038A">
              <w:rPr>
                <w:rFonts w:ascii="Times New Roman" w:eastAsia="SimSun" w:hAnsi="Times New Roman" w:cs="Times New Roman"/>
                <w:b/>
                <w:lang w:val="en-GB"/>
              </w:rPr>
              <w:br/>
              <w:t>or filename</w:t>
            </w:r>
          </w:p>
        </w:tc>
        <w:tc>
          <w:tcPr>
            <w:tcW w:w="615" w:type="pct"/>
            <w:vAlign w:val="center"/>
          </w:tcPr>
          <w:p w:rsidR="0008038A" w:rsidRPr="0008038A" w:rsidRDefault="0008038A" w:rsidP="003D40A3">
            <w:pPr>
              <w:spacing w:before="120" w:after="120" w:line="240" w:lineRule="auto"/>
              <w:jc w:val="center"/>
              <w:rPr>
                <w:rFonts w:ascii="Times New Roman" w:eastAsia="SimSun" w:hAnsi="Times New Roman" w:cs="Times New Roman"/>
                <w:b/>
                <w:lang w:val="en-GB"/>
              </w:rPr>
            </w:pPr>
            <w:r w:rsidRPr="0008038A">
              <w:rPr>
                <w:rFonts w:ascii="Times New Roman" w:eastAsia="SimSun" w:hAnsi="Times New Roman" w:cs="Times New Roman"/>
                <w:b/>
                <w:lang w:val="en-GB"/>
              </w:rPr>
              <w:t>Indicate pages to be read</w:t>
            </w: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1.</w:t>
            </w:r>
            <w:r w:rsidRPr="00F37B85">
              <w:rPr>
                <w:lang w:val="en-US"/>
              </w:rPr>
              <w:t xml:space="preserve"> </w:t>
            </w:r>
            <w:r w:rsidRPr="00F37B85">
              <w:rPr>
                <w:rFonts w:ascii="Times New Roman" w:eastAsia="SimSun" w:hAnsi="Times New Roman" w:cs="Times New Roman"/>
                <w:lang w:val="en-GB"/>
              </w:rPr>
              <w:t xml:space="preserve">Castellacci, F. (2008): “Technological Paradigms, Regimes and Trajectories: Manufacturing and Service Industries in a New Taxonomy of Sectoral Patterns of Innovation”, </w:t>
            </w:r>
            <w:r w:rsidRPr="00F37B85">
              <w:rPr>
                <w:rFonts w:ascii="Times New Roman" w:eastAsia="SimSun" w:hAnsi="Times New Roman" w:cs="Times New Roman"/>
                <w:b/>
                <w:i/>
                <w:lang w:val="en-GB"/>
              </w:rPr>
              <w:t>Research Policy</w:t>
            </w:r>
            <w:r>
              <w:rPr>
                <w:rFonts w:ascii="Times New Roman" w:eastAsia="SimSun" w:hAnsi="Times New Roman" w:cs="Times New Roman"/>
                <w:lang w:val="en-GB"/>
              </w:rPr>
              <w:t xml:space="preserve">, </w:t>
            </w:r>
            <w:r w:rsidRPr="00950467">
              <w:rPr>
                <w:rFonts w:ascii="Times New Roman" w:eastAsia="SimSun" w:hAnsi="Times New Roman" w:cs="Times New Roman"/>
                <w:lang w:val="en-GB"/>
              </w:rPr>
              <w:t xml:space="preserve">37 </w:t>
            </w:r>
            <w:r>
              <w:rPr>
                <w:rFonts w:ascii="Times New Roman" w:eastAsia="SimSun" w:hAnsi="Times New Roman" w:cs="Times New Roman"/>
                <w:lang w:val="en-GB"/>
              </w:rPr>
              <w:t>(</w:t>
            </w:r>
            <w:r w:rsidRPr="00950467">
              <w:rPr>
                <w:rFonts w:ascii="Times New Roman" w:eastAsia="SimSun" w:hAnsi="Times New Roman" w:cs="Times New Roman"/>
                <w:lang w:val="en-GB"/>
              </w:rPr>
              <w:t>6–7</w:t>
            </w:r>
            <w:r>
              <w:rPr>
                <w:rFonts w:ascii="Times New Roman" w:eastAsia="SimSun" w:hAnsi="Times New Roman" w:cs="Times New Roman"/>
                <w:lang w:val="en-GB"/>
              </w:rPr>
              <w:t>):</w:t>
            </w:r>
            <w:r w:rsidRPr="00950467">
              <w:rPr>
                <w:rFonts w:ascii="Times New Roman" w:eastAsia="SimSun" w:hAnsi="Times New Roman" w:cs="Times New Roman"/>
                <w:lang w:val="en-GB"/>
              </w:rPr>
              <w:t xml:space="preserve"> 978–994</w:t>
            </w:r>
            <w:r>
              <w:rPr>
                <w:rFonts w:ascii="Times New Roman" w:eastAsia="SimSun" w:hAnsi="Times New Roman" w:cs="Times New Roman"/>
                <w:lang w:val="en-GB"/>
              </w:rPr>
              <w:t>.</w:t>
            </w:r>
          </w:p>
        </w:tc>
        <w:tc>
          <w:tcPr>
            <w:tcW w:w="2215" w:type="pct"/>
          </w:tcPr>
          <w:p w:rsidR="0008038A" w:rsidRPr="00272F5D" w:rsidRDefault="00310BC9" w:rsidP="00902DB0">
            <w:pPr>
              <w:spacing w:before="120" w:after="120" w:line="240" w:lineRule="auto"/>
              <w:rPr>
                <w:rFonts w:ascii="Times New Roman" w:eastAsia="SimSun" w:hAnsi="Times New Roman" w:cs="Times New Roman"/>
                <w:lang w:val="en-GB"/>
              </w:rPr>
            </w:pPr>
            <w:hyperlink r:id="rId9" w:history="1">
              <w:r w:rsidR="0008038A" w:rsidRPr="007E478A">
                <w:rPr>
                  <w:rStyle w:val="Hyperlink"/>
                  <w:rFonts w:ascii="Times New Roman" w:eastAsia="SimSun" w:hAnsi="Times New Roman" w:cs="Times New Roman"/>
                  <w:lang w:val="en-GB"/>
                </w:rPr>
                <w:t>http://dx.doi.org/10.1016/j.respol.2008.03.011</w:t>
              </w:r>
            </w:hyperlink>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2</w:t>
            </w:r>
            <w:r>
              <w:rPr>
                <w:rFonts w:ascii="Times New Roman" w:eastAsia="SimSun" w:hAnsi="Times New Roman" w:cs="Times New Roman"/>
                <w:lang w:val="en-GB"/>
              </w:rPr>
              <w:t>.</w:t>
            </w:r>
            <w:r w:rsidRPr="00F37B85">
              <w:rPr>
                <w:lang w:val="en-US"/>
              </w:rPr>
              <w:t xml:space="preserve"> </w:t>
            </w:r>
            <w:r w:rsidRPr="00F37B85">
              <w:rPr>
                <w:rFonts w:ascii="Times New Roman" w:eastAsia="SimSun" w:hAnsi="Times New Roman" w:cs="Times New Roman"/>
                <w:lang w:val="en-GB"/>
              </w:rPr>
              <w:t xml:space="preserve">Fagerberg, J. and Srholec, M. </w:t>
            </w:r>
            <w:r>
              <w:rPr>
                <w:rFonts w:ascii="Times New Roman" w:eastAsia="SimSun" w:hAnsi="Times New Roman" w:cs="Times New Roman"/>
                <w:lang w:val="en-GB"/>
              </w:rPr>
              <w:t>(2008):</w:t>
            </w:r>
            <w:r w:rsidRPr="00F37B85">
              <w:rPr>
                <w:rFonts w:ascii="Times New Roman" w:eastAsia="SimSun" w:hAnsi="Times New Roman" w:cs="Times New Roman"/>
                <w:lang w:val="en-GB"/>
              </w:rPr>
              <w:t xml:space="preserve"> </w:t>
            </w:r>
            <w:r>
              <w:rPr>
                <w:rFonts w:ascii="Times New Roman" w:eastAsia="SimSun" w:hAnsi="Times New Roman" w:cs="Times New Roman"/>
                <w:lang w:val="en-GB"/>
              </w:rPr>
              <w:t>“</w:t>
            </w:r>
            <w:r w:rsidRPr="00F37B85">
              <w:rPr>
                <w:rFonts w:ascii="Times New Roman" w:eastAsia="SimSun" w:hAnsi="Times New Roman" w:cs="Times New Roman"/>
                <w:lang w:val="en-GB"/>
              </w:rPr>
              <w:t>National Innovation systems, capabilities and economic development</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sidRPr="00F37B85">
              <w:rPr>
                <w:rFonts w:ascii="Times New Roman" w:eastAsia="SimSun" w:hAnsi="Times New Roman" w:cs="Times New Roman"/>
                <w:b/>
                <w:i/>
                <w:lang w:val="en-GB"/>
              </w:rPr>
              <w:t>Research Policy</w:t>
            </w:r>
            <w:r w:rsidRPr="00F37B85">
              <w:rPr>
                <w:rFonts w:ascii="Times New Roman" w:eastAsia="SimSun" w:hAnsi="Times New Roman" w:cs="Times New Roman"/>
                <w:lang w:val="en-GB"/>
              </w:rPr>
              <w:t>, 37: 1417-1435.</w:t>
            </w:r>
          </w:p>
        </w:tc>
        <w:tc>
          <w:tcPr>
            <w:tcW w:w="2215" w:type="pct"/>
          </w:tcPr>
          <w:p w:rsidR="0008038A" w:rsidRDefault="00310BC9" w:rsidP="00902DB0">
            <w:pPr>
              <w:spacing w:before="120" w:after="120" w:line="240" w:lineRule="auto"/>
              <w:rPr>
                <w:rFonts w:ascii="Times New Roman" w:eastAsia="SimSun" w:hAnsi="Times New Roman" w:cs="Times New Roman"/>
                <w:lang w:val="en-GB"/>
              </w:rPr>
            </w:pPr>
            <w:hyperlink r:id="rId10" w:history="1">
              <w:r w:rsidR="0008038A" w:rsidRPr="007E478A">
                <w:rPr>
                  <w:rStyle w:val="Hyperlink"/>
                  <w:rFonts w:ascii="Times New Roman" w:eastAsia="SimSun" w:hAnsi="Times New Roman" w:cs="Times New Roman"/>
                  <w:lang w:val="en-GB"/>
                </w:rPr>
                <w:t>http://dx.doi.org/10.1016/j.respol.2008.06.003</w:t>
              </w:r>
            </w:hyperlink>
          </w:p>
          <w:p w:rsidR="0008038A" w:rsidRPr="00272F5D" w:rsidRDefault="0008038A" w:rsidP="00902DB0">
            <w:pPr>
              <w:spacing w:before="120" w:after="120" w:line="240" w:lineRule="auto"/>
              <w:rPr>
                <w:rFonts w:ascii="Times New Roman" w:eastAsia="SimSun" w:hAnsi="Times New Roman" w:cs="Times New Roman"/>
                <w:lang w:val="en-GB"/>
              </w:rPr>
            </w:pPr>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3.</w:t>
            </w:r>
            <w:r w:rsidRPr="00F37B85">
              <w:rPr>
                <w:lang w:val="en-US"/>
              </w:rPr>
              <w:t xml:space="preserve"> </w:t>
            </w:r>
            <w:r w:rsidRPr="00F37B85">
              <w:rPr>
                <w:rFonts w:ascii="Times New Roman" w:eastAsia="SimSun" w:hAnsi="Times New Roman" w:cs="Times New Roman"/>
                <w:lang w:val="en-GB"/>
              </w:rPr>
              <w:t xml:space="preserve">Fagerberg, J. and Verspagen, B. </w:t>
            </w:r>
            <w:r>
              <w:rPr>
                <w:rFonts w:ascii="Times New Roman" w:eastAsia="SimSun" w:hAnsi="Times New Roman" w:cs="Times New Roman"/>
                <w:lang w:val="en-GB"/>
              </w:rPr>
              <w:t>(</w:t>
            </w:r>
            <w:r w:rsidRPr="00F37B85">
              <w:rPr>
                <w:rFonts w:ascii="Times New Roman" w:eastAsia="SimSun" w:hAnsi="Times New Roman" w:cs="Times New Roman"/>
                <w:lang w:val="en-GB"/>
              </w:rPr>
              <w:t>2009</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Pr>
                <w:rFonts w:ascii="Times New Roman" w:eastAsia="SimSun" w:hAnsi="Times New Roman" w:cs="Times New Roman"/>
                <w:lang w:val="en-GB"/>
              </w:rPr>
              <w:t>“</w:t>
            </w:r>
            <w:r w:rsidRPr="00F37B85">
              <w:rPr>
                <w:rFonts w:ascii="Times New Roman" w:eastAsia="SimSun" w:hAnsi="Times New Roman" w:cs="Times New Roman"/>
                <w:lang w:val="en-GB"/>
              </w:rPr>
              <w:t>Innovation studies -The emerging structure of a new scientific field</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sidRPr="00F37B85">
              <w:rPr>
                <w:rFonts w:ascii="Times New Roman" w:eastAsia="SimSun" w:hAnsi="Times New Roman" w:cs="Times New Roman"/>
                <w:b/>
                <w:i/>
                <w:lang w:val="en-GB"/>
              </w:rPr>
              <w:t>Research Policy</w:t>
            </w:r>
            <w:r w:rsidRPr="00F37B85">
              <w:rPr>
                <w:rFonts w:ascii="Times New Roman" w:eastAsia="SimSun" w:hAnsi="Times New Roman" w:cs="Times New Roman"/>
                <w:lang w:val="en-GB"/>
              </w:rPr>
              <w:t>, 38: 218-233.</w:t>
            </w:r>
          </w:p>
        </w:tc>
        <w:tc>
          <w:tcPr>
            <w:tcW w:w="2215" w:type="pct"/>
          </w:tcPr>
          <w:p w:rsidR="0008038A" w:rsidRPr="00272F5D" w:rsidRDefault="00310BC9" w:rsidP="00902DB0">
            <w:pPr>
              <w:spacing w:before="120" w:after="120" w:line="240" w:lineRule="auto"/>
              <w:rPr>
                <w:rFonts w:ascii="Times New Roman" w:eastAsia="SimSun" w:hAnsi="Times New Roman" w:cs="Times New Roman"/>
                <w:lang w:val="en-GB"/>
              </w:rPr>
            </w:pPr>
            <w:hyperlink r:id="rId11" w:history="1">
              <w:r w:rsidR="0008038A" w:rsidRPr="007E478A">
                <w:rPr>
                  <w:rStyle w:val="Hyperlink"/>
                  <w:rFonts w:ascii="Times New Roman" w:eastAsia="SimSun" w:hAnsi="Times New Roman" w:cs="Times New Roman"/>
                  <w:lang w:val="en-GB"/>
                </w:rPr>
                <w:t>http://dx.doi.org/10.1016/j.respol.2008.12.006</w:t>
              </w:r>
            </w:hyperlink>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4.</w:t>
            </w:r>
            <w:r w:rsidRPr="00F37B85">
              <w:rPr>
                <w:lang w:val="en-US"/>
              </w:rPr>
              <w:t xml:space="preserve"> </w:t>
            </w:r>
            <w:r w:rsidRPr="00F37B85">
              <w:rPr>
                <w:rFonts w:ascii="Times New Roman" w:eastAsia="SimSun" w:hAnsi="Times New Roman" w:cs="Times New Roman"/>
                <w:lang w:val="en-GB"/>
              </w:rPr>
              <w:t xml:space="preserve">Fagerberg, J., Mowery, </w:t>
            </w:r>
            <w:r>
              <w:rPr>
                <w:rFonts w:ascii="Times New Roman" w:eastAsia="SimSun" w:hAnsi="Times New Roman" w:cs="Times New Roman"/>
                <w:lang w:val="en-GB"/>
              </w:rPr>
              <w:t xml:space="preserve">D. and Verspagen, B.: </w:t>
            </w:r>
            <w:r w:rsidRPr="00F37B85">
              <w:rPr>
                <w:rFonts w:ascii="Times New Roman" w:eastAsia="SimSun" w:hAnsi="Times New Roman" w:cs="Times New Roman"/>
                <w:i/>
                <w:lang w:val="en-GB"/>
              </w:rPr>
              <w:t>Innovation, Path Dependency and Policy: The Norwegian case</w:t>
            </w:r>
            <w:r w:rsidRPr="00F37B85">
              <w:rPr>
                <w:rFonts w:ascii="Times New Roman" w:eastAsia="SimSun" w:hAnsi="Times New Roman" w:cs="Times New Roman"/>
                <w:lang w:val="en-GB"/>
              </w:rPr>
              <w:t xml:space="preserve">, </w:t>
            </w:r>
            <w:r w:rsidRPr="006D54CF">
              <w:rPr>
                <w:rFonts w:ascii="Times New Roman" w:eastAsia="SimSun" w:hAnsi="Times New Roman" w:cs="Times New Roman"/>
                <w:b/>
                <w:i/>
                <w:lang w:val="en-GB"/>
              </w:rPr>
              <w:t>Oxford University Press</w:t>
            </w:r>
            <w:r w:rsidRPr="00F37B85">
              <w:rPr>
                <w:rFonts w:ascii="Times New Roman" w:eastAsia="SimSun" w:hAnsi="Times New Roman" w:cs="Times New Roman"/>
                <w:lang w:val="en-GB"/>
              </w:rPr>
              <w:t>.</w:t>
            </w:r>
          </w:p>
        </w:tc>
        <w:tc>
          <w:tcPr>
            <w:tcW w:w="2215" w:type="pct"/>
          </w:tcPr>
          <w:p w:rsidR="0008038A" w:rsidRPr="00272F5D" w:rsidRDefault="00310BC9" w:rsidP="00902DB0">
            <w:pPr>
              <w:spacing w:before="120" w:after="120" w:line="240" w:lineRule="auto"/>
              <w:rPr>
                <w:rFonts w:ascii="Times New Roman" w:eastAsia="SimSun" w:hAnsi="Times New Roman" w:cs="Times New Roman"/>
                <w:lang w:val="en-GB"/>
              </w:rPr>
            </w:pPr>
            <w:hyperlink r:id="rId12" w:history="1">
              <w:r w:rsidR="0008038A" w:rsidRPr="007E478A">
                <w:rPr>
                  <w:rStyle w:val="Hyperlink"/>
                  <w:rFonts w:ascii="Times New Roman" w:eastAsia="SimSun" w:hAnsi="Times New Roman" w:cs="Times New Roman"/>
                  <w:lang w:val="en-GB"/>
                </w:rPr>
                <w:t>https://global.oup.com/academic/product/innovation-path-dependency-and-policy-9780199688470?q=fagerberg&amp;lang=en&amp;cc=it</w:t>
              </w:r>
            </w:hyperlink>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r>
              <w:rPr>
                <w:rFonts w:ascii="Times New Roman" w:eastAsia="SimSun" w:hAnsi="Times New Roman" w:cs="Times New Roman"/>
                <w:lang w:val="en-GB"/>
              </w:rPr>
              <w:t>1-30</w:t>
            </w: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5.</w:t>
            </w:r>
            <w:r w:rsidRPr="00F37B85">
              <w:rPr>
                <w:lang w:val="en-US"/>
              </w:rPr>
              <w:t xml:space="preserve"> </w:t>
            </w:r>
            <w:r w:rsidRPr="00F37B85">
              <w:rPr>
                <w:rFonts w:ascii="Times New Roman" w:eastAsia="SimSun" w:hAnsi="Times New Roman" w:cs="Times New Roman"/>
                <w:lang w:val="en-GB"/>
              </w:rPr>
              <w:t>Clausen, Tommy Høyvarde; Fagerberg, Jan &amp; Gulbrandsen, Magnus (2012)</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Pr>
                <w:rFonts w:ascii="Times New Roman" w:eastAsia="SimSun" w:hAnsi="Times New Roman" w:cs="Times New Roman"/>
                <w:lang w:val="en-GB"/>
              </w:rPr>
              <w:t>“</w:t>
            </w:r>
            <w:r w:rsidRPr="00F37B85">
              <w:rPr>
                <w:rFonts w:ascii="Times New Roman" w:eastAsia="SimSun" w:hAnsi="Times New Roman" w:cs="Times New Roman"/>
                <w:lang w:val="en-GB"/>
              </w:rPr>
              <w:t>Mobilizing for change: A study of research units in emerging scientific fields</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sidRPr="00524191">
              <w:rPr>
                <w:rFonts w:ascii="Times New Roman" w:eastAsia="SimSun" w:hAnsi="Times New Roman" w:cs="Times New Roman"/>
                <w:b/>
                <w:i/>
                <w:lang w:val="en-GB"/>
              </w:rPr>
              <w:t>Research Policy</w:t>
            </w:r>
            <w:r w:rsidRPr="00F37B85">
              <w:rPr>
                <w:rFonts w:ascii="Times New Roman" w:eastAsia="SimSun" w:hAnsi="Times New Roman" w:cs="Times New Roman"/>
                <w:lang w:val="en-GB"/>
              </w:rPr>
              <w:t>, 41, 1249- 1261.</w:t>
            </w:r>
          </w:p>
        </w:tc>
        <w:tc>
          <w:tcPr>
            <w:tcW w:w="2215" w:type="pct"/>
          </w:tcPr>
          <w:p w:rsidR="0008038A" w:rsidRDefault="00310BC9" w:rsidP="00902DB0">
            <w:pPr>
              <w:spacing w:before="120" w:after="120" w:line="240" w:lineRule="auto"/>
              <w:rPr>
                <w:rFonts w:ascii="Times New Roman" w:eastAsia="SimSun" w:hAnsi="Times New Roman" w:cs="Times New Roman"/>
                <w:lang w:val="en-GB"/>
              </w:rPr>
            </w:pPr>
            <w:hyperlink r:id="rId13" w:history="1">
              <w:r w:rsidR="0008038A" w:rsidRPr="007E478A">
                <w:rPr>
                  <w:rStyle w:val="Hyperlink"/>
                  <w:rFonts w:ascii="Times New Roman" w:eastAsia="SimSun" w:hAnsi="Times New Roman" w:cs="Times New Roman"/>
                  <w:lang w:val="en-GB"/>
                </w:rPr>
                <w:t>http://dx.doi.org/10.1016/j.respol.2012.03.014</w:t>
              </w:r>
            </w:hyperlink>
          </w:p>
          <w:p w:rsidR="0008038A" w:rsidRPr="00272F5D" w:rsidRDefault="0008038A" w:rsidP="00902DB0">
            <w:pPr>
              <w:spacing w:before="120" w:after="120" w:line="240" w:lineRule="auto"/>
              <w:rPr>
                <w:rFonts w:ascii="Times New Roman" w:eastAsia="SimSun" w:hAnsi="Times New Roman" w:cs="Times New Roman"/>
                <w:lang w:val="en-GB"/>
              </w:rPr>
            </w:pPr>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6.</w:t>
            </w:r>
            <w:r w:rsidRPr="00F37B85">
              <w:rPr>
                <w:lang w:val="en-US"/>
              </w:rPr>
              <w:t xml:space="preserve"> </w:t>
            </w:r>
            <w:r w:rsidRPr="00F37B85">
              <w:rPr>
                <w:rFonts w:ascii="Times New Roman" w:eastAsia="SimSun" w:hAnsi="Times New Roman" w:cs="Times New Roman"/>
                <w:lang w:val="en-GB"/>
              </w:rPr>
              <w:t xml:space="preserve">Castellacci, F. and Natera, J.M. (2013): “The dynamics of national innovation systems: a panel cointegration analysis of the coevolution between innovative capability and absorptive capacity”, </w:t>
            </w:r>
            <w:r w:rsidRPr="00F37B85">
              <w:rPr>
                <w:rFonts w:ascii="Times New Roman" w:eastAsia="SimSun" w:hAnsi="Times New Roman" w:cs="Times New Roman"/>
                <w:b/>
                <w:i/>
                <w:lang w:val="en-GB"/>
              </w:rPr>
              <w:t>Research Policy</w:t>
            </w:r>
            <w:r>
              <w:rPr>
                <w:rFonts w:ascii="Times New Roman" w:eastAsia="SimSun" w:hAnsi="Times New Roman" w:cs="Times New Roman"/>
                <w:lang w:val="en-GB"/>
              </w:rPr>
              <w:t xml:space="preserve">, </w:t>
            </w:r>
            <w:r w:rsidRPr="00950467">
              <w:rPr>
                <w:rFonts w:ascii="Times New Roman" w:eastAsia="SimSun" w:hAnsi="Times New Roman" w:cs="Times New Roman"/>
                <w:lang w:val="en-GB"/>
              </w:rPr>
              <w:t xml:space="preserve">42 </w:t>
            </w:r>
            <w:r>
              <w:rPr>
                <w:rFonts w:ascii="Times New Roman" w:eastAsia="SimSun" w:hAnsi="Times New Roman" w:cs="Times New Roman"/>
                <w:lang w:val="en-GB"/>
              </w:rPr>
              <w:t>(</w:t>
            </w:r>
            <w:r w:rsidRPr="00950467">
              <w:rPr>
                <w:rFonts w:ascii="Times New Roman" w:eastAsia="SimSun" w:hAnsi="Times New Roman" w:cs="Times New Roman"/>
                <w:lang w:val="en-GB"/>
              </w:rPr>
              <w:t>3</w:t>
            </w:r>
            <w:r>
              <w:rPr>
                <w:rFonts w:ascii="Times New Roman" w:eastAsia="SimSun" w:hAnsi="Times New Roman" w:cs="Times New Roman"/>
                <w:lang w:val="en-GB"/>
              </w:rPr>
              <w:t>):</w:t>
            </w:r>
            <w:r w:rsidRPr="00950467">
              <w:rPr>
                <w:rFonts w:ascii="Times New Roman" w:eastAsia="SimSun" w:hAnsi="Times New Roman" w:cs="Times New Roman"/>
                <w:lang w:val="en-GB"/>
              </w:rPr>
              <w:t xml:space="preserve"> 579–594</w:t>
            </w:r>
            <w:r>
              <w:rPr>
                <w:rFonts w:ascii="Times New Roman" w:eastAsia="SimSun" w:hAnsi="Times New Roman" w:cs="Times New Roman"/>
                <w:lang w:val="en-GB"/>
              </w:rPr>
              <w:t>.</w:t>
            </w:r>
          </w:p>
        </w:tc>
        <w:tc>
          <w:tcPr>
            <w:tcW w:w="2215" w:type="pct"/>
          </w:tcPr>
          <w:p w:rsidR="0008038A" w:rsidRDefault="00310BC9" w:rsidP="00902DB0">
            <w:pPr>
              <w:spacing w:before="120" w:after="120" w:line="240" w:lineRule="auto"/>
              <w:rPr>
                <w:rFonts w:ascii="Times New Roman" w:eastAsia="SimSun" w:hAnsi="Times New Roman" w:cs="Times New Roman"/>
                <w:lang w:val="en-GB"/>
              </w:rPr>
            </w:pPr>
            <w:hyperlink r:id="rId14" w:history="1">
              <w:r w:rsidR="0008038A" w:rsidRPr="007E478A">
                <w:rPr>
                  <w:rStyle w:val="Hyperlink"/>
                  <w:rFonts w:ascii="Times New Roman" w:eastAsia="SimSun" w:hAnsi="Times New Roman" w:cs="Times New Roman"/>
                  <w:lang w:val="en-GB"/>
                </w:rPr>
                <w:t>http://dx.doi.org/10.1016/j.respol.2012.10.006</w:t>
              </w:r>
            </w:hyperlink>
          </w:p>
          <w:p w:rsidR="0008038A" w:rsidRPr="00272F5D" w:rsidRDefault="0008038A" w:rsidP="00902DB0">
            <w:pPr>
              <w:spacing w:before="120" w:after="120" w:line="240" w:lineRule="auto"/>
              <w:rPr>
                <w:rFonts w:ascii="Times New Roman" w:eastAsia="SimSun" w:hAnsi="Times New Roman" w:cs="Times New Roman"/>
                <w:lang w:val="en-GB"/>
              </w:rPr>
            </w:pPr>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7.</w:t>
            </w:r>
            <w:r w:rsidRPr="00F37B85">
              <w:rPr>
                <w:lang w:val="en-US"/>
              </w:rPr>
              <w:t xml:space="preserve"> </w:t>
            </w:r>
            <w:r w:rsidRPr="00F37B85">
              <w:rPr>
                <w:rFonts w:ascii="Times New Roman" w:eastAsia="SimSun" w:hAnsi="Times New Roman" w:cs="Times New Roman"/>
                <w:lang w:val="en-GB"/>
              </w:rPr>
              <w:t xml:space="preserve">Castellacci, F. (2015): “Institutional Voids or </w:t>
            </w:r>
            <w:r>
              <w:rPr>
                <w:rFonts w:ascii="Times New Roman" w:eastAsia="SimSun" w:hAnsi="Times New Roman" w:cs="Times New Roman"/>
                <w:lang w:val="en-GB"/>
              </w:rPr>
              <w:t>organizational resilience</w:t>
            </w:r>
            <w:r w:rsidRPr="00F37B85">
              <w:rPr>
                <w:rFonts w:ascii="Times New Roman" w:eastAsia="SimSun" w:hAnsi="Times New Roman" w:cs="Times New Roman"/>
                <w:lang w:val="en-GB"/>
              </w:rPr>
              <w:t xml:space="preserve">? Business Groups, Innovation and Market Development in Latin America”, </w:t>
            </w:r>
            <w:r w:rsidRPr="00F37B85">
              <w:rPr>
                <w:rFonts w:ascii="Times New Roman" w:eastAsia="SimSun" w:hAnsi="Times New Roman" w:cs="Times New Roman"/>
                <w:b/>
                <w:i/>
                <w:lang w:val="en-GB"/>
              </w:rPr>
              <w:t>World Development</w:t>
            </w:r>
            <w:r>
              <w:rPr>
                <w:rFonts w:ascii="Times New Roman" w:eastAsia="SimSun" w:hAnsi="Times New Roman" w:cs="Times New Roman"/>
                <w:lang w:val="en-GB"/>
              </w:rPr>
              <w:t xml:space="preserve">, </w:t>
            </w:r>
            <w:r w:rsidRPr="00950467">
              <w:rPr>
                <w:rFonts w:ascii="Times New Roman" w:eastAsia="SimSun" w:hAnsi="Times New Roman" w:cs="Times New Roman"/>
                <w:lang w:val="en-GB"/>
              </w:rPr>
              <w:t>70</w:t>
            </w:r>
            <w:r>
              <w:rPr>
                <w:rFonts w:ascii="Times New Roman" w:eastAsia="SimSun" w:hAnsi="Times New Roman" w:cs="Times New Roman"/>
                <w:lang w:val="en-GB"/>
              </w:rPr>
              <w:t>:</w:t>
            </w:r>
            <w:r w:rsidRPr="00950467">
              <w:rPr>
                <w:rFonts w:ascii="Times New Roman" w:eastAsia="SimSun" w:hAnsi="Times New Roman" w:cs="Times New Roman"/>
                <w:lang w:val="en-GB"/>
              </w:rPr>
              <w:t xml:space="preserve"> 43–58</w:t>
            </w:r>
            <w:r>
              <w:rPr>
                <w:rFonts w:ascii="Times New Roman" w:eastAsia="SimSun" w:hAnsi="Times New Roman" w:cs="Times New Roman"/>
                <w:lang w:val="en-GB"/>
              </w:rPr>
              <w:t>.</w:t>
            </w:r>
          </w:p>
        </w:tc>
        <w:tc>
          <w:tcPr>
            <w:tcW w:w="2215" w:type="pct"/>
          </w:tcPr>
          <w:p w:rsidR="0008038A" w:rsidRDefault="00310BC9" w:rsidP="00902DB0">
            <w:pPr>
              <w:spacing w:before="120" w:after="120" w:line="240" w:lineRule="auto"/>
              <w:rPr>
                <w:rFonts w:ascii="Times New Roman" w:eastAsia="SimSun" w:hAnsi="Times New Roman" w:cs="Times New Roman"/>
                <w:lang w:val="en-GB"/>
              </w:rPr>
            </w:pPr>
            <w:hyperlink r:id="rId15" w:history="1">
              <w:r w:rsidR="0008038A" w:rsidRPr="007E478A">
                <w:rPr>
                  <w:rStyle w:val="Hyperlink"/>
                  <w:rFonts w:ascii="Times New Roman" w:eastAsia="SimSun" w:hAnsi="Times New Roman" w:cs="Times New Roman"/>
                  <w:lang w:val="en-GB"/>
                </w:rPr>
                <w:t>http://dx.doi.org/10.1016/j.worlddev.2014.12.014</w:t>
              </w:r>
            </w:hyperlink>
          </w:p>
          <w:p w:rsidR="0008038A" w:rsidRPr="00272F5D" w:rsidRDefault="0008038A" w:rsidP="00902DB0">
            <w:pPr>
              <w:spacing w:before="120" w:after="120" w:line="240" w:lineRule="auto"/>
              <w:rPr>
                <w:rFonts w:ascii="Times New Roman" w:eastAsia="SimSun" w:hAnsi="Times New Roman" w:cs="Times New Roman"/>
                <w:lang w:val="en-GB"/>
              </w:rPr>
            </w:pPr>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8.</w:t>
            </w:r>
            <w:r w:rsidRPr="00F37B85">
              <w:rPr>
                <w:lang w:val="en-US"/>
              </w:rPr>
              <w:t xml:space="preserve"> </w:t>
            </w:r>
            <w:r w:rsidRPr="00F37B85">
              <w:rPr>
                <w:rFonts w:ascii="Times New Roman" w:eastAsia="SimSun" w:hAnsi="Times New Roman" w:cs="Times New Roman"/>
                <w:lang w:val="en-GB"/>
              </w:rPr>
              <w:t>Bentley, Peter; Gulbrandsen, Magnus &amp; Kyvik, Svein (2015)</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Pr>
                <w:rFonts w:ascii="Times New Roman" w:eastAsia="SimSun" w:hAnsi="Times New Roman" w:cs="Times New Roman"/>
                <w:lang w:val="en-GB"/>
              </w:rPr>
              <w:t>“</w:t>
            </w:r>
            <w:r w:rsidRPr="00F37B85">
              <w:rPr>
                <w:rFonts w:ascii="Times New Roman" w:eastAsia="SimSun" w:hAnsi="Times New Roman" w:cs="Times New Roman"/>
                <w:lang w:val="en-GB"/>
              </w:rPr>
              <w:t>The relationship between basic and applied research in universities</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sidRPr="00F37B85">
              <w:rPr>
                <w:rFonts w:ascii="Times New Roman" w:eastAsia="SimSun" w:hAnsi="Times New Roman" w:cs="Times New Roman"/>
                <w:b/>
                <w:i/>
                <w:lang w:val="en-GB"/>
              </w:rPr>
              <w:t>Higher Education</w:t>
            </w:r>
            <w:r w:rsidRPr="00F37B85">
              <w:rPr>
                <w:rFonts w:ascii="Times New Roman" w:eastAsia="SimSun" w:hAnsi="Times New Roman" w:cs="Times New Roman"/>
                <w:lang w:val="en-GB"/>
              </w:rPr>
              <w:t>, 70(4)</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689- 709.</w:t>
            </w:r>
          </w:p>
        </w:tc>
        <w:tc>
          <w:tcPr>
            <w:tcW w:w="2215" w:type="pct"/>
          </w:tcPr>
          <w:p w:rsidR="0008038A" w:rsidRDefault="00310BC9" w:rsidP="00902DB0">
            <w:pPr>
              <w:spacing w:before="120" w:after="120" w:line="240" w:lineRule="auto"/>
              <w:rPr>
                <w:rFonts w:ascii="Times New Roman" w:eastAsia="SimSun" w:hAnsi="Times New Roman" w:cs="Times New Roman"/>
                <w:lang w:val="en-GB"/>
              </w:rPr>
            </w:pPr>
            <w:hyperlink r:id="rId16" w:history="1">
              <w:r w:rsidR="0008038A" w:rsidRPr="007E478A">
                <w:rPr>
                  <w:rStyle w:val="Hyperlink"/>
                  <w:rFonts w:ascii="Times New Roman" w:eastAsia="SimSun" w:hAnsi="Times New Roman" w:cs="Times New Roman"/>
                  <w:lang w:val="en-GB"/>
                </w:rPr>
                <w:t>http://dx.doi.org/10.1007/s10734-015-9861-2</w:t>
              </w:r>
            </w:hyperlink>
          </w:p>
          <w:p w:rsidR="0008038A" w:rsidRDefault="0008038A" w:rsidP="00902DB0">
            <w:pPr>
              <w:spacing w:before="120" w:after="120" w:line="240" w:lineRule="auto"/>
              <w:rPr>
                <w:rFonts w:ascii="Times New Roman" w:eastAsia="SimSun" w:hAnsi="Times New Roman" w:cs="Times New Roman"/>
                <w:lang w:val="en-GB"/>
              </w:rPr>
            </w:pPr>
          </w:p>
          <w:p w:rsidR="0008038A" w:rsidRPr="00272F5D" w:rsidRDefault="0008038A" w:rsidP="00902DB0">
            <w:pPr>
              <w:spacing w:before="120" w:after="120" w:line="240" w:lineRule="auto"/>
              <w:rPr>
                <w:rFonts w:ascii="Times New Roman" w:eastAsia="SimSun" w:hAnsi="Times New Roman" w:cs="Times New Roman"/>
                <w:lang w:val="en-GB"/>
              </w:rPr>
            </w:pPr>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9.</w:t>
            </w:r>
            <w:r w:rsidRPr="00F37B85">
              <w:rPr>
                <w:lang w:val="en-US"/>
              </w:rPr>
              <w:t xml:space="preserve"> </w:t>
            </w:r>
            <w:r w:rsidRPr="00F37B85">
              <w:rPr>
                <w:rFonts w:ascii="Times New Roman" w:eastAsia="SimSun" w:hAnsi="Times New Roman" w:cs="Times New Roman"/>
                <w:lang w:val="en-GB"/>
              </w:rPr>
              <w:t>Gulbrandsen, Magnus; Thune, Taran Mari; Borlaug, Siri Brorstad &amp; Hanson, Jens (2015)</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Pr>
                <w:rFonts w:ascii="Times New Roman" w:eastAsia="SimSun" w:hAnsi="Times New Roman" w:cs="Times New Roman"/>
                <w:lang w:val="en-GB"/>
              </w:rPr>
              <w:t>“</w:t>
            </w:r>
            <w:r w:rsidRPr="00F37B85">
              <w:rPr>
                <w:rFonts w:ascii="Times New Roman" w:eastAsia="SimSun" w:hAnsi="Times New Roman" w:cs="Times New Roman"/>
                <w:lang w:val="en-GB"/>
              </w:rPr>
              <w:t>Emerging Hybrid Practises In Public–Private Research Centres</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sidRPr="00F37B85">
              <w:rPr>
                <w:rFonts w:ascii="Times New Roman" w:eastAsia="SimSun" w:hAnsi="Times New Roman" w:cs="Times New Roman"/>
                <w:b/>
                <w:i/>
                <w:lang w:val="en-GB"/>
              </w:rPr>
              <w:t>Public Administration</w:t>
            </w:r>
            <w:r w:rsidRPr="00F37B85">
              <w:rPr>
                <w:rFonts w:ascii="Times New Roman" w:eastAsia="SimSun" w:hAnsi="Times New Roman" w:cs="Times New Roman"/>
                <w:lang w:val="en-GB"/>
              </w:rPr>
              <w:t>, 93(2)</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363- 379.</w:t>
            </w:r>
          </w:p>
        </w:tc>
        <w:tc>
          <w:tcPr>
            <w:tcW w:w="2215" w:type="pct"/>
          </w:tcPr>
          <w:p w:rsidR="0008038A" w:rsidRDefault="00310BC9" w:rsidP="00902DB0">
            <w:pPr>
              <w:spacing w:before="120" w:after="120" w:line="240" w:lineRule="auto"/>
              <w:rPr>
                <w:rFonts w:ascii="Times New Roman" w:eastAsia="SimSun" w:hAnsi="Times New Roman" w:cs="Times New Roman"/>
                <w:lang w:val="en-GB"/>
              </w:rPr>
            </w:pPr>
            <w:hyperlink r:id="rId17" w:history="1">
              <w:r w:rsidR="0008038A" w:rsidRPr="007E478A">
                <w:rPr>
                  <w:rStyle w:val="Hyperlink"/>
                  <w:rFonts w:ascii="Times New Roman" w:eastAsia="SimSun" w:hAnsi="Times New Roman" w:cs="Times New Roman"/>
                  <w:lang w:val="en-GB"/>
                </w:rPr>
                <w:t>http://dx.doi.org/10.1111/padm.12140</w:t>
              </w:r>
            </w:hyperlink>
          </w:p>
          <w:p w:rsidR="0008038A" w:rsidRPr="00272F5D" w:rsidRDefault="0008038A" w:rsidP="00902DB0">
            <w:pPr>
              <w:spacing w:before="120" w:after="120" w:line="240" w:lineRule="auto"/>
              <w:rPr>
                <w:rFonts w:ascii="Times New Roman" w:eastAsia="SimSun" w:hAnsi="Times New Roman" w:cs="Times New Roman"/>
                <w:lang w:val="en-GB"/>
              </w:rPr>
            </w:pPr>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r w:rsidR="0008038A" w:rsidRPr="00272F5D" w:rsidTr="00515627">
        <w:tc>
          <w:tcPr>
            <w:tcW w:w="2170" w:type="pct"/>
          </w:tcPr>
          <w:p w:rsidR="0008038A" w:rsidRPr="00272F5D" w:rsidRDefault="0008038A" w:rsidP="00902DB0">
            <w:pPr>
              <w:spacing w:before="120" w:after="120" w:line="240" w:lineRule="auto"/>
              <w:rPr>
                <w:rFonts w:ascii="Times New Roman" w:eastAsia="SimSun" w:hAnsi="Times New Roman" w:cs="Times New Roman"/>
                <w:lang w:val="en-GB"/>
              </w:rPr>
            </w:pPr>
            <w:r w:rsidRPr="00272F5D">
              <w:rPr>
                <w:rFonts w:ascii="Times New Roman" w:eastAsia="SimSun" w:hAnsi="Times New Roman" w:cs="Times New Roman"/>
                <w:lang w:val="en-GB"/>
              </w:rPr>
              <w:t>10.</w:t>
            </w:r>
            <w:r w:rsidRPr="00F37B85">
              <w:rPr>
                <w:lang w:val="en-US"/>
              </w:rPr>
              <w:t xml:space="preserve"> </w:t>
            </w:r>
            <w:r w:rsidRPr="00F37B85">
              <w:rPr>
                <w:rFonts w:ascii="Times New Roman" w:eastAsia="SimSun" w:hAnsi="Times New Roman" w:cs="Times New Roman"/>
                <w:lang w:val="en-GB"/>
              </w:rPr>
              <w:t>Thune, T., &amp; Mina, A. (2016)</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Pr>
                <w:rFonts w:ascii="Times New Roman" w:eastAsia="SimSun" w:hAnsi="Times New Roman" w:cs="Times New Roman"/>
                <w:lang w:val="en-GB"/>
              </w:rPr>
              <w:t>“</w:t>
            </w:r>
            <w:r w:rsidRPr="00F37B85">
              <w:rPr>
                <w:rFonts w:ascii="Times New Roman" w:eastAsia="SimSun" w:hAnsi="Times New Roman" w:cs="Times New Roman"/>
                <w:lang w:val="en-GB"/>
              </w:rPr>
              <w:t>Hospitals as innovators in the health-care system: A literature review and research agenda</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w:t>
            </w:r>
            <w:r w:rsidRPr="00F37B85">
              <w:rPr>
                <w:rFonts w:ascii="Times New Roman" w:eastAsia="SimSun" w:hAnsi="Times New Roman" w:cs="Times New Roman"/>
                <w:b/>
                <w:i/>
                <w:lang w:val="en-GB"/>
              </w:rPr>
              <w:t>Research Policy</w:t>
            </w:r>
            <w:r w:rsidRPr="00F37B85">
              <w:rPr>
                <w:rFonts w:ascii="Times New Roman" w:eastAsia="SimSun" w:hAnsi="Times New Roman" w:cs="Times New Roman"/>
                <w:lang w:val="en-GB"/>
              </w:rPr>
              <w:t>, 45(8)</w:t>
            </w:r>
            <w:r>
              <w:rPr>
                <w:rFonts w:ascii="Times New Roman" w:eastAsia="SimSun" w:hAnsi="Times New Roman" w:cs="Times New Roman"/>
                <w:lang w:val="en-GB"/>
              </w:rPr>
              <w:t>:</w:t>
            </w:r>
            <w:r w:rsidRPr="00F37B85">
              <w:rPr>
                <w:rFonts w:ascii="Times New Roman" w:eastAsia="SimSun" w:hAnsi="Times New Roman" w:cs="Times New Roman"/>
                <w:lang w:val="en-GB"/>
              </w:rPr>
              <w:t xml:space="preserve"> 1545-1557.</w:t>
            </w:r>
          </w:p>
        </w:tc>
        <w:tc>
          <w:tcPr>
            <w:tcW w:w="2215" w:type="pct"/>
          </w:tcPr>
          <w:p w:rsidR="0008038A" w:rsidRDefault="00310BC9" w:rsidP="00902DB0">
            <w:pPr>
              <w:spacing w:before="120" w:after="120" w:line="240" w:lineRule="auto"/>
              <w:rPr>
                <w:rFonts w:ascii="Times New Roman" w:eastAsia="SimSun" w:hAnsi="Times New Roman" w:cs="Times New Roman"/>
                <w:lang w:val="en-GB"/>
              </w:rPr>
            </w:pPr>
            <w:hyperlink r:id="rId18" w:history="1">
              <w:r w:rsidR="0008038A" w:rsidRPr="007E478A">
                <w:rPr>
                  <w:rStyle w:val="Hyperlink"/>
                  <w:rFonts w:ascii="Times New Roman" w:eastAsia="SimSun" w:hAnsi="Times New Roman" w:cs="Times New Roman"/>
                  <w:lang w:val="en-GB"/>
                </w:rPr>
                <w:t>http://dx.doi.org/10.1016/j.respol.2016.03.010</w:t>
              </w:r>
            </w:hyperlink>
          </w:p>
          <w:p w:rsidR="0008038A" w:rsidRPr="00272F5D" w:rsidRDefault="0008038A" w:rsidP="00902DB0">
            <w:pPr>
              <w:spacing w:before="120" w:after="120" w:line="240" w:lineRule="auto"/>
              <w:rPr>
                <w:rFonts w:ascii="Times New Roman" w:eastAsia="SimSun" w:hAnsi="Times New Roman" w:cs="Times New Roman"/>
                <w:lang w:val="en-GB"/>
              </w:rPr>
            </w:pPr>
          </w:p>
        </w:tc>
        <w:tc>
          <w:tcPr>
            <w:tcW w:w="615" w:type="pct"/>
          </w:tcPr>
          <w:p w:rsidR="0008038A" w:rsidRPr="00272F5D" w:rsidRDefault="0008038A" w:rsidP="00902DB0">
            <w:pPr>
              <w:spacing w:before="120" w:after="120" w:line="240" w:lineRule="auto"/>
              <w:rPr>
                <w:rFonts w:ascii="Times New Roman" w:eastAsia="SimSun" w:hAnsi="Times New Roman" w:cs="Times New Roman"/>
                <w:lang w:val="en-GB"/>
              </w:rPr>
            </w:pPr>
          </w:p>
        </w:tc>
      </w:tr>
    </w:tbl>
    <w:p w:rsidR="0008038A" w:rsidRPr="00105598" w:rsidRDefault="0008038A" w:rsidP="0008038A">
      <w:pPr>
        <w:spacing w:after="0" w:line="240" w:lineRule="auto"/>
        <w:rPr>
          <w:rFonts w:ascii="Times New Roman" w:eastAsia="SimSun" w:hAnsi="Times New Roman" w:cs="Times New Roman"/>
          <w:lang w:eastAsia="nb-NO"/>
        </w:rPr>
      </w:pPr>
    </w:p>
    <w:p w:rsidR="0008038A" w:rsidRPr="007102FE" w:rsidRDefault="0008038A" w:rsidP="0008038A">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5"/>
        </w:numPr>
        <w:autoSpaceDE w:val="0"/>
        <w:autoSpaceDN w:val="0"/>
        <w:adjustRightInd w:val="0"/>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 xml:space="preserve">Describe strategies for research development within the discipline, including strategies for scientific publications. </w:t>
      </w:r>
    </w:p>
    <w:p w:rsidR="00180A0B" w:rsidRDefault="00180A0B" w:rsidP="00180A0B">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p>
    <w:p w:rsidR="006542C7" w:rsidRDefault="00E47DC3" w:rsidP="006542C7">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As noted above, innovation studies research at TIK is hampered by the limited size of its staff (and particularly tenured staff at Professor level). One of the strategies that TIK </w:t>
      </w:r>
      <w:r w:rsidR="00AF755C">
        <w:rPr>
          <w:rFonts w:ascii="Times New Roman" w:eastAsia="Calibri" w:hAnsi="Times New Roman" w:cs="Times New Roman"/>
          <w:sz w:val="24"/>
          <w:szCs w:val="24"/>
          <w:lang w:val="en-GB" w:eastAsia="en-US"/>
        </w:rPr>
        <w:t>follows</w:t>
      </w:r>
      <w:r>
        <w:rPr>
          <w:rFonts w:ascii="Times New Roman" w:eastAsia="Calibri" w:hAnsi="Times New Roman" w:cs="Times New Roman"/>
          <w:sz w:val="24"/>
          <w:szCs w:val="24"/>
          <w:lang w:val="en-GB" w:eastAsia="en-US"/>
        </w:rPr>
        <w:t xml:space="preserve"> to overcome this limitation is to develop strong links and collaborations with other units in the same and in neighbouring fields of research. Innovation studies represent a highly</w:t>
      </w:r>
      <w:r w:rsidR="006542C7" w:rsidRPr="006542C7">
        <w:rPr>
          <w:rFonts w:ascii="Times New Roman" w:eastAsia="Calibri" w:hAnsi="Times New Roman" w:cs="Times New Roman"/>
          <w:sz w:val="24"/>
          <w:szCs w:val="24"/>
          <w:lang w:val="en-GB" w:eastAsia="en-US"/>
        </w:rPr>
        <w:t xml:space="preserve"> multidisciplinary and collaborative</w:t>
      </w:r>
      <w:r>
        <w:rPr>
          <w:rFonts w:ascii="Times New Roman" w:eastAsia="Calibri" w:hAnsi="Times New Roman" w:cs="Times New Roman"/>
          <w:sz w:val="24"/>
          <w:szCs w:val="24"/>
          <w:lang w:val="en-GB" w:eastAsia="en-US"/>
        </w:rPr>
        <w:t xml:space="preserve"> field</w:t>
      </w:r>
      <w:r w:rsidR="006542C7" w:rsidRPr="006542C7">
        <w:rPr>
          <w:rFonts w:ascii="Times New Roman" w:eastAsia="Calibri" w:hAnsi="Times New Roman" w:cs="Times New Roman"/>
          <w:sz w:val="24"/>
          <w:szCs w:val="24"/>
          <w:lang w:val="en-GB" w:eastAsia="en-US"/>
        </w:rPr>
        <w:t xml:space="preserve">. Almost all research activities </w:t>
      </w:r>
      <w:r>
        <w:rPr>
          <w:rFonts w:ascii="Times New Roman" w:eastAsia="Calibri" w:hAnsi="Times New Roman" w:cs="Times New Roman"/>
          <w:sz w:val="24"/>
          <w:szCs w:val="24"/>
          <w:lang w:val="en-GB" w:eastAsia="en-US"/>
        </w:rPr>
        <w:t>in this field at TIK involve</w:t>
      </w:r>
      <w:r w:rsidR="006542C7" w:rsidRPr="006542C7">
        <w:rPr>
          <w:rFonts w:ascii="Times New Roman" w:eastAsia="Calibri" w:hAnsi="Times New Roman" w:cs="Times New Roman"/>
          <w:sz w:val="24"/>
          <w:szCs w:val="24"/>
          <w:lang w:val="en-GB" w:eastAsia="en-US"/>
        </w:rPr>
        <w:t xml:space="preserve"> collaborating with innovation researchers in other countries. Among the most important international research partners are SPRU</w:t>
      </w:r>
      <w:r>
        <w:rPr>
          <w:rFonts w:ascii="Times New Roman" w:eastAsia="Calibri" w:hAnsi="Times New Roman" w:cs="Times New Roman"/>
          <w:sz w:val="24"/>
          <w:szCs w:val="24"/>
          <w:lang w:val="en-GB" w:eastAsia="en-US"/>
        </w:rPr>
        <w:t xml:space="preserve"> (Sussex, UK)</w:t>
      </w:r>
      <w:r w:rsidR="006542C7" w:rsidRPr="006542C7">
        <w:rPr>
          <w:rFonts w:ascii="Times New Roman" w:eastAsia="Calibri" w:hAnsi="Times New Roman" w:cs="Times New Roman"/>
          <w:sz w:val="24"/>
          <w:szCs w:val="24"/>
          <w:lang w:val="en-GB" w:eastAsia="en-US"/>
        </w:rPr>
        <w:t>, MIOIR</w:t>
      </w:r>
      <w:r>
        <w:rPr>
          <w:rFonts w:ascii="Times New Roman" w:eastAsia="Calibri" w:hAnsi="Times New Roman" w:cs="Times New Roman"/>
          <w:sz w:val="24"/>
          <w:szCs w:val="24"/>
          <w:lang w:val="en-GB" w:eastAsia="en-US"/>
        </w:rPr>
        <w:t xml:space="preserve"> (Manchester, UK)</w:t>
      </w:r>
      <w:r w:rsidR="006542C7" w:rsidRPr="006542C7">
        <w:rPr>
          <w:rFonts w:ascii="Times New Roman" w:eastAsia="Calibri" w:hAnsi="Times New Roman" w:cs="Times New Roman"/>
          <w:sz w:val="24"/>
          <w:szCs w:val="24"/>
          <w:lang w:val="en-GB" w:eastAsia="en-US"/>
        </w:rPr>
        <w:t>, Ingenio</w:t>
      </w:r>
      <w:r>
        <w:rPr>
          <w:rFonts w:ascii="Times New Roman" w:eastAsia="Calibri" w:hAnsi="Times New Roman" w:cs="Times New Roman"/>
          <w:sz w:val="24"/>
          <w:szCs w:val="24"/>
          <w:lang w:val="en-GB" w:eastAsia="en-US"/>
        </w:rPr>
        <w:t xml:space="preserve"> (Valencia, Spain)</w:t>
      </w:r>
      <w:r w:rsidR="006542C7" w:rsidRPr="006542C7">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 xml:space="preserve">and </w:t>
      </w:r>
      <w:r w:rsidR="006542C7" w:rsidRPr="006542C7">
        <w:rPr>
          <w:rFonts w:ascii="Times New Roman" w:eastAsia="Calibri" w:hAnsi="Times New Roman" w:cs="Times New Roman"/>
          <w:sz w:val="24"/>
          <w:szCs w:val="24"/>
          <w:lang w:val="en-GB" w:eastAsia="en-US"/>
        </w:rPr>
        <w:t xml:space="preserve">CIRCLE </w:t>
      </w:r>
      <w:r>
        <w:rPr>
          <w:rFonts w:ascii="Times New Roman" w:eastAsia="Calibri" w:hAnsi="Times New Roman" w:cs="Times New Roman"/>
          <w:sz w:val="24"/>
          <w:szCs w:val="24"/>
          <w:lang w:val="en-GB" w:eastAsia="en-US"/>
        </w:rPr>
        <w:t>(Lund, Sweden), among others</w:t>
      </w:r>
      <w:r w:rsidR="006542C7" w:rsidRPr="006542C7">
        <w:rPr>
          <w:rFonts w:ascii="Times New Roman" w:eastAsia="Calibri" w:hAnsi="Times New Roman" w:cs="Times New Roman"/>
          <w:sz w:val="24"/>
          <w:szCs w:val="24"/>
          <w:lang w:val="en-GB" w:eastAsia="en-US"/>
        </w:rPr>
        <w:t xml:space="preserve">. The EU-SPRI network is also important; TIK is a member </w:t>
      </w:r>
      <w:r>
        <w:rPr>
          <w:rFonts w:ascii="Times New Roman" w:eastAsia="Calibri" w:hAnsi="Times New Roman" w:cs="Times New Roman"/>
          <w:sz w:val="24"/>
          <w:szCs w:val="24"/>
          <w:lang w:val="en-GB" w:eastAsia="en-US"/>
        </w:rPr>
        <w:t xml:space="preserve">of this network </w:t>
      </w:r>
      <w:r w:rsidR="006542C7" w:rsidRPr="006542C7">
        <w:rPr>
          <w:rFonts w:ascii="Times New Roman" w:eastAsia="Calibri" w:hAnsi="Times New Roman" w:cs="Times New Roman"/>
          <w:sz w:val="24"/>
          <w:szCs w:val="24"/>
          <w:lang w:val="en-GB" w:eastAsia="en-US"/>
        </w:rPr>
        <w:t xml:space="preserve">together with the major science and innovation policy oriented research units in Europe (and represented in the executive committee) and host for the planned annual scientific conference in 2021. </w:t>
      </w:r>
    </w:p>
    <w:p w:rsidR="006542C7" w:rsidRPr="006542C7" w:rsidRDefault="006542C7" w:rsidP="006542C7">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p>
    <w:p w:rsidR="006542C7" w:rsidRDefault="006542C7" w:rsidP="006542C7">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r w:rsidRPr="006542C7">
        <w:rPr>
          <w:rFonts w:ascii="Times New Roman" w:eastAsia="Calibri" w:hAnsi="Times New Roman" w:cs="Times New Roman"/>
          <w:sz w:val="24"/>
          <w:szCs w:val="24"/>
          <w:lang w:val="en-GB" w:eastAsia="en-US"/>
        </w:rPr>
        <w:t xml:space="preserve">The group has </w:t>
      </w:r>
      <w:r w:rsidR="00E47DC3">
        <w:rPr>
          <w:rFonts w:ascii="Times New Roman" w:eastAsia="Calibri" w:hAnsi="Times New Roman" w:cs="Times New Roman"/>
          <w:sz w:val="24"/>
          <w:szCs w:val="24"/>
          <w:lang w:val="en-GB" w:eastAsia="en-US"/>
        </w:rPr>
        <w:t xml:space="preserve">also </w:t>
      </w:r>
      <w:r w:rsidRPr="006542C7">
        <w:rPr>
          <w:rFonts w:ascii="Times New Roman" w:eastAsia="Calibri" w:hAnsi="Times New Roman" w:cs="Times New Roman"/>
          <w:sz w:val="24"/>
          <w:szCs w:val="24"/>
          <w:lang w:val="en-GB" w:eastAsia="en-US"/>
        </w:rPr>
        <w:t xml:space="preserve">extensive collaboration across disciplinary boundaries, particularly within the area of renewable energy transitions and innovation in life science and medicine. Research partners are within odontology, medicine, technology and natural sciences at the University of Oslo and elsewhere (NTNU, Nofima). The innovation group has a tradition for collaboration with policymakers as well as private industry. There is formal project collaboration with users in the Research Council of Norway (RCN) and various ministries not least through the large-scale project OSIRIS. Current research and user partners in the public and private sector include Telenor, Aker Solution, Petroleum Geo-Services (PGS), the health region South-East, the Norwegian Welfare directorate, Ministry of Science and Education, etc. The innovation group currently has one industry PhD fellow and two public sector PhD candidates.  </w:t>
      </w:r>
    </w:p>
    <w:p w:rsidR="006542C7" w:rsidRDefault="006542C7" w:rsidP="006542C7">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p>
    <w:p w:rsidR="0008038A" w:rsidRDefault="00E47DC3" w:rsidP="00180A0B">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Regarding the strategy aimed at increasing the quantity and quality of publications, </w:t>
      </w:r>
      <w:r w:rsidR="00553B7E" w:rsidRPr="00553B7E">
        <w:rPr>
          <w:rFonts w:ascii="Times New Roman" w:eastAsia="Calibri" w:hAnsi="Times New Roman" w:cs="Times New Roman"/>
          <w:sz w:val="24"/>
          <w:szCs w:val="24"/>
          <w:lang w:val="en-GB" w:eastAsia="en-US"/>
        </w:rPr>
        <w:t xml:space="preserve">TIK has </w:t>
      </w:r>
      <w:r>
        <w:rPr>
          <w:rFonts w:ascii="Times New Roman" w:eastAsia="Calibri" w:hAnsi="Times New Roman" w:cs="Times New Roman"/>
          <w:sz w:val="24"/>
          <w:szCs w:val="24"/>
          <w:lang w:val="en-GB" w:eastAsia="en-US"/>
        </w:rPr>
        <w:t xml:space="preserve">recently </w:t>
      </w:r>
      <w:r w:rsidR="00553B7E" w:rsidRPr="00553B7E">
        <w:rPr>
          <w:rFonts w:ascii="Times New Roman" w:eastAsia="Calibri" w:hAnsi="Times New Roman" w:cs="Times New Roman"/>
          <w:sz w:val="24"/>
          <w:szCs w:val="24"/>
          <w:lang w:val="en-GB" w:eastAsia="en-US"/>
        </w:rPr>
        <w:t xml:space="preserve">introduced a new publication bonus system to provide researchers with a stronger incentive to publish internationally. In addition, there is a “publication workshop” </w:t>
      </w:r>
      <w:r>
        <w:rPr>
          <w:rFonts w:ascii="Times New Roman" w:eastAsia="Calibri" w:hAnsi="Times New Roman" w:cs="Times New Roman"/>
          <w:sz w:val="24"/>
          <w:szCs w:val="24"/>
          <w:lang w:val="en-GB" w:eastAsia="en-US"/>
        </w:rPr>
        <w:t xml:space="preserve">that is organized </w:t>
      </w:r>
      <w:r w:rsidR="00553B7E" w:rsidRPr="00553B7E">
        <w:rPr>
          <w:rFonts w:ascii="Times New Roman" w:eastAsia="Calibri" w:hAnsi="Times New Roman" w:cs="Times New Roman"/>
          <w:sz w:val="24"/>
          <w:szCs w:val="24"/>
          <w:lang w:val="en-GB" w:eastAsia="en-US"/>
        </w:rPr>
        <w:t xml:space="preserve">once every semester to discuss the staff’s work in progress leading to journal publications. Overall, researchers in the innovation group </w:t>
      </w:r>
      <w:r>
        <w:rPr>
          <w:rFonts w:ascii="Times New Roman" w:eastAsia="Calibri" w:hAnsi="Times New Roman" w:cs="Times New Roman"/>
          <w:sz w:val="24"/>
          <w:szCs w:val="24"/>
          <w:lang w:val="en-GB" w:eastAsia="en-US"/>
        </w:rPr>
        <w:t xml:space="preserve">aim at </w:t>
      </w:r>
      <w:r w:rsidR="00553B7E" w:rsidRPr="00553B7E">
        <w:rPr>
          <w:rFonts w:ascii="Times New Roman" w:eastAsia="Calibri" w:hAnsi="Times New Roman" w:cs="Times New Roman"/>
          <w:sz w:val="24"/>
          <w:szCs w:val="24"/>
          <w:lang w:val="en-GB" w:eastAsia="en-US"/>
        </w:rPr>
        <w:t xml:space="preserve">publishing in relevant, high quality outlets (journals and publishing houses). </w:t>
      </w:r>
      <w:r>
        <w:rPr>
          <w:rFonts w:ascii="Times New Roman" w:eastAsia="Calibri" w:hAnsi="Times New Roman" w:cs="Times New Roman"/>
          <w:sz w:val="24"/>
          <w:szCs w:val="24"/>
          <w:lang w:val="en-GB" w:eastAsia="en-US"/>
        </w:rPr>
        <w:t xml:space="preserve">As noted above, </w:t>
      </w:r>
      <w:r w:rsidR="00553B7E" w:rsidRPr="00553B7E">
        <w:rPr>
          <w:rFonts w:ascii="Times New Roman" w:eastAsia="Calibri" w:hAnsi="Times New Roman" w:cs="Times New Roman"/>
          <w:sz w:val="24"/>
          <w:szCs w:val="24"/>
          <w:lang w:val="en-GB" w:eastAsia="en-US"/>
        </w:rPr>
        <w:t xml:space="preserve">TIK’s innovation group is highly visible in the world’s leading scientific journal in innovation studies, </w:t>
      </w:r>
      <w:r w:rsidR="00553B7E" w:rsidRPr="00E47DC3">
        <w:rPr>
          <w:rFonts w:ascii="Times New Roman" w:eastAsia="Calibri" w:hAnsi="Times New Roman" w:cs="Times New Roman"/>
          <w:i/>
          <w:sz w:val="24"/>
          <w:szCs w:val="24"/>
          <w:lang w:val="en-GB" w:eastAsia="en-US"/>
        </w:rPr>
        <w:t>Research Policy</w:t>
      </w:r>
      <w:r w:rsidR="00553B7E" w:rsidRPr="00553B7E">
        <w:rPr>
          <w:rFonts w:ascii="Times New Roman" w:eastAsia="Calibri" w:hAnsi="Times New Roman" w:cs="Times New Roman"/>
          <w:sz w:val="24"/>
          <w:szCs w:val="24"/>
          <w:lang w:val="en-GB" w:eastAsia="en-US"/>
        </w:rPr>
        <w:t xml:space="preserve">, for example through co-editing three recent special issues (2011, 2012 and 2016) and in </w:t>
      </w:r>
      <w:r>
        <w:rPr>
          <w:rFonts w:ascii="Times New Roman" w:eastAsia="Calibri" w:hAnsi="Times New Roman" w:cs="Times New Roman"/>
          <w:sz w:val="24"/>
          <w:szCs w:val="24"/>
          <w:lang w:val="en-GB" w:eastAsia="en-US"/>
        </w:rPr>
        <w:t xml:space="preserve">several </w:t>
      </w:r>
      <w:r w:rsidR="00553B7E" w:rsidRPr="00553B7E">
        <w:rPr>
          <w:rFonts w:ascii="Times New Roman" w:eastAsia="Calibri" w:hAnsi="Times New Roman" w:cs="Times New Roman"/>
          <w:sz w:val="24"/>
          <w:szCs w:val="24"/>
          <w:lang w:val="en-GB" w:eastAsia="en-US"/>
        </w:rPr>
        <w:t xml:space="preserve">other articles. The innovation group has steadily increased the number of publication points per capita since 2013 and increased the share of level-2 publications in the Norwegian system in the same period. The group’s working paper series, </w:t>
      </w:r>
      <w:r>
        <w:rPr>
          <w:rFonts w:ascii="Times New Roman" w:eastAsia="Calibri" w:hAnsi="Times New Roman" w:cs="Times New Roman"/>
          <w:sz w:val="24"/>
          <w:szCs w:val="24"/>
          <w:lang w:val="en-GB" w:eastAsia="en-US"/>
        </w:rPr>
        <w:t>part of the</w:t>
      </w:r>
      <w:r w:rsidR="00553B7E" w:rsidRPr="00553B7E">
        <w:rPr>
          <w:rFonts w:ascii="Times New Roman" w:eastAsia="Calibri" w:hAnsi="Times New Roman" w:cs="Times New Roman"/>
          <w:sz w:val="24"/>
          <w:szCs w:val="24"/>
          <w:lang w:val="en-GB" w:eastAsia="en-US"/>
        </w:rPr>
        <w:t xml:space="preserve"> REPEC/IDEAS</w:t>
      </w:r>
      <w:r>
        <w:rPr>
          <w:rFonts w:ascii="Times New Roman" w:eastAsia="Calibri" w:hAnsi="Times New Roman" w:cs="Times New Roman"/>
          <w:sz w:val="24"/>
          <w:szCs w:val="24"/>
          <w:lang w:val="en-GB" w:eastAsia="en-US"/>
        </w:rPr>
        <w:t xml:space="preserve"> international archive</w:t>
      </w:r>
      <w:r w:rsidR="00553B7E" w:rsidRPr="00553B7E">
        <w:rPr>
          <w:rFonts w:ascii="Times New Roman" w:eastAsia="Calibri" w:hAnsi="Times New Roman" w:cs="Times New Roman"/>
          <w:sz w:val="24"/>
          <w:szCs w:val="24"/>
          <w:lang w:val="en-GB" w:eastAsia="en-US"/>
        </w:rPr>
        <w:t xml:space="preserve">, has </w:t>
      </w:r>
      <w:r>
        <w:rPr>
          <w:rFonts w:ascii="Times New Roman" w:eastAsia="Calibri" w:hAnsi="Times New Roman" w:cs="Times New Roman"/>
          <w:sz w:val="24"/>
          <w:szCs w:val="24"/>
          <w:lang w:val="en-GB" w:eastAsia="en-US"/>
        </w:rPr>
        <w:t xml:space="preserve">high visibility, ranking, and </w:t>
      </w:r>
      <w:r w:rsidR="00553B7E" w:rsidRPr="00553B7E">
        <w:rPr>
          <w:rFonts w:ascii="Times New Roman" w:eastAsia="Calibri" w:hAnsi="Times New Roman" w:cs="Times New Roman"/>
          <w:sz w:val="24"/>
          <w:szCs w:val="24"/>
          <w:lang w:val="en-GB" w:eastAsia="en-US"/>
        </w:rPr>
        <w:t>a high number of downloads.</w:t>
      </w:r>
    </w:p>
    <w:p w:rsidR="00236FDB" w:rsidRDefault="00236FDB" w:rsidP="00180A0B">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p>
    <w:p w:rsidR="0008038A" w:rsidRPr="007102FE" w:rsidRDefault="0008038A" w:rsidP="00180A0B">
      <w:pPr>
        <w:autoSpaceDE w:val="0"/>
        <w:autoSpaceDN w:val="0"/>
        <w:adjustRightInd w:val="0"/>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5"/>
        </w:num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08038A">
        <w:rPr>
          <w:rFonts w:ascii="Times New Roman" w:eastAsia="Calibri" w:hAnsi="Times New Roman" w:cs="Times New Roman"/>
          <w:b/>
          <w:sz w:val="24"/>
          <w:szCs w:val="24"/>
          <w:lang w:eastAsia="en-US"/>
        </w:rPr>
        <w:t xml:space="preserve">Please estimate the primary audience of your scientific publications in Form 2.  </w:t>
      </w:r>
    </w:p>
    <w:p w:rsidR="00641E21" w:rsidRDefault="00641E21" w:rsidP="00180A0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3D40A3" w:rsidRDefault="003D40A3" w:rsidP="00641E21">
      <w:pPr>
        <w:spacing w:after="0" w:line="240" w:lineRule="auto"/>
        <w:ind w:left="1412" w:hanging="1412"/>
        <w:rPr>
          <w:rFonts w:ascii="Times New Roman" w:eastAsia="SimSun" w:hAnsi="Times New Roman" w:cs="Times New Roman"/>
          <w:b/>
          <w:sz w:val="24"/>
          <w:szCs w:val="24"/>
          <w:lang w:eastAsia="nb-NO"/>
        </w:rPr>
      </w:pPr>
      <w:r w:rsidRPr="00641E21">
        <w:rPr>
          <w:rFonts w:ascii="Times New Roman" w:eastAsia="SimSun" w:hAnsi="Times New Roman" w:cs="Times New Roman"/>
          <w:b/>
          <w:sz w:val="24"/>
          <w:szCs w:val="24"/>
          <w:lang w:eastAsia="nb-NO"/>
        </w:rPr>
        <w:t>Form 2: Roughly estimate which audience the results of your scientific publications primarily are intended for (in percentage)</w:t>
      </w:r>
    </w:p>
    <w:p w:rsidR="00641E21" w:rsidRPr="00641E21" w:rsidRDefault="00641E21" w:rsidP="00641E21">
      <w:pPr>
        <w:spacing w:after="0" w:line="240" w:lineRule="auto"/>
        <w:ind w:left="1412" w:hanging="1412"/>
        <w:rPr>
          <w:rFonts w:ascii="Times New Roman" w:eastAsia="SimSun" w:hAnsi="Times New Roman" w:cs="Times New Roman"/>
          <w:b/>
          <w:sz w:val="24"/>
          <w:szCs w:val="24"/>
          <w:lang w:eastAsia="nb-NO"/>
        </w:rPr>
      </w:pPr>
    </w:p>
    <w:tbl>
      <w:tblPr>
        <w:tblStyle w:val="TableGrid"/>
        <w:tblW w:w="0" w:type="auto"/>
        <w:tblLook w:val="04A0" w:firstRow="1" w:lastRow="0" w:firstColumn="1" w:lastColumn="0" w:noHBand="0" w:noVBand="1"/>
      </w:tblPr>
      <w:tblGrid>
        <w:gridCol w:w="3070"/>
        <w:gridCol w:w="3070"/>
        <w:gridCol w:w="3070"/>
      </w:tblGrid>
      <w:tr w:rsidR="003D40A3" w:rsidRPr="003D40A3" w:rsidTr="000027BF">
        <w:tc>
          <w:tcPr>
            <w:tcW w:w="3070" w:type="dxa"/>
            <w:vAlign w:val="center"/>
          </w:tcPr>
          <w:p w:rsidR="003D40A3" w:rsidRPr="003D40A3" w:rsidRDefault="003D40A3" w:rsidP="000027BF">
            <w:pPr>
              <w:spacing w:after="0" w:line="240" w:lineRule="auto"/>
              <w:jc w:val="center"/>
              <w:rPr>
                <w:rFonts w:ascii="Times New Roman" w:eastAsia="SimSun" w:hAnsi="Times New Roman" w:cs="Times New Roman"/>
                <w:b/>
                <w:lang w:val="en-US"/>
              </w:rPr>
            </w:pPr>
          </w:p>
        </w:tc>
        <w:tc>
          <w:tcPr>
            <w:tcW w:w="3070" w:type="dxa"/>
            <w:vAlign w:val="center"/>
          </w:tcPr>
          <w:p w:rsidR="000027BF" w:rsidRDefault="000027BF" w:rsidP="000027BF">
            <w:pPr>
              <w:spacing w:after="0" w:line="240" w:lineRule="auto"/>
              <w:jc w:val="center"/>
              <w:rPr>
                <w:rFonts w:ascii="Times New Roman" w:eastAsia="SimSun" w:hAnsi="Times New Roman" w:cs="Times New Roman"/>
                <w:b/>
                <w:lang w:val="en-US"/>
              </w:rPr>
            </w:pPr>
          </w:p>
          <w:p w:rsidR="003D40A3" w:rsidRDefault="003D40A3" w:rsidP="000027BF">
            <w:pPr>
              <w:spacing w:after="0" w:line="240" w:lineRule="auto"/>
              <w:jc w:val="center"/>
              <w:rPr>
                <w:rFonts w:ascii="Times New Roman" w:eastAsia="SimSun" w:hAnsi="Times New Roman" w:cs="Times New Roman"/>
                <w:b/>
                <w:lang w:val="en-US"/>
              </w:rPr>
            </w:pPr>
            <w:r w:rsidRPr="003D40A3">
              <w:rPr>
                <w:rFonts w:ascii="Times New Roman" w:eastAsia="SimSun" w:hAnsi="Times New Roman" w:cs="Times New Roman"/>
                <w:b/>
                <w:lang w:val="en-US"/>
              </w:rPr>
              <w:t>Within the academic discipline(s)</w:t>
            </w:r>
          </w:p>
          <w:p w:rsidR="000027BF" w:rsidRPr="003D40A3" w:rsidRDefault="000027BF" w:rsidP="000027BF">
            <w:pPr>
              <w:spacing w:after="0" w:line="240" w:lineRule="auto"/>
              <w:jc w:val="center"/>
              <w:rPr>
                <w:rFonts w:ascii="Times New Roman" w:eastAsia="SimSun" w:hAnsi="Times New Roman" w:cs="Times New Roman"/>
                <w:b/>
                <w:lang w:val="en-US"/>
              </w:rPr>
            </w:pPr>
          </w:p>
        </w:tc>
        <w:tc>
          <w:tcPr>
            <w:tcW w:w="3070" w:type="dxa"/>
            <w:vAlign w:val="center"/>
          </w:tcPr>
          <w:p w:rsidR="003D40A3" w:rsidRPr="003D40A3" w:rsidRDefault="003D40A3" w:rsidP="000027BF">
            <w:pPr>
              <w:spacing w:after="0" w:line="240" w:lineRule="auto"/>
              <w:jc w:val="center"/>
              <w:rPr>
                <w:rFonts w:ascii="Times New Roman" w:eastAsia="SimSun" w:hAnsi="Times New Roman" w:cs="Times New Roman"/>
                <w:b/>
                <w:lang w:val="en-US"/>
              </w:rPr>
            </w:pPr>
            <w:r w:rsidRPr="003D40A3">
              <w:rPr>
                <w:rFonts w:ascii="Times New Roman" w:eastAsia="SimSun" w:hAnsi="Times New Roman" w:cs="Times New Roman"/>
                <w:b/>
                <w:lang w:val="en-US"/>
              </w:rPr>
              <w:t>Beneficiaries outside the academic community</w:t>
            </w:r>
          </w:p>
        </w:tc>
      </w:tr>
      <w:tr w:rsidR="003D40A3" w:rsidRPr="003D40A3" w:rsidTr="000027BF">
        <w:tc>
          <w:tcPr>
            <w:tcW w:w="3070" w:type="dxa"/>
            <w:vAlign w:val="center"/>
          </w:tcPr>
          <w:p w:rsidR="000027BF" w:rsidRPr="005100C3" w:rsidRDefault="000027BF" w:rsidP="000027BF">
            <w:pPr>
              <w:spacing w:after="0" w:line="240" w:lineRule="auto"/>
              <w:jc w:val="center"/>
              <w:rPr>
                <w:rFonts w:ascii="Times New Roman" w:eastAsia="SimSun" w:hAnsi="Times New Roman" w:cs="Times New Roman"/>
                <w:b/>
                <w:lang w:val="en-US"/>
              </w:rPr>
            </w:pPr>
          </w:p>
          <w:p w:rsidR="003D40A3" w:rsidRDefault="000027BF" w:rsidP="000027BF">
            <w:pPr>
              <w:spacing w:after="0" w:line="240" w:lineRule="auto"/>
              <w:jc w:val="center"/>
              <w:rPr>
                <w:rFonts w:ascii="Times New Roman" w:eastAsia="SimSun" w:hAnsi="Times New Roman" w:cs="Times New Roman"/>
                <w:b/>
              </w:rPr>
            </w:pPr>
            <w:r>
              <w:rPr>
                <w:rFonts w:ascii="Times New Roman" w:eastAsia="SimSun" w:hAnsi="Times New Roman" w:cs="Times New Roman"/>
                <w:b/>
              </w:rPr>
              <w:t>National audience</w:t>
            </w:r>
          </w:p>
          <w:p w:rsidR="000027BF" w:rsidRPr="003D40A3" w:rsidRDefault="000027BF" w:rsidP="000027BF">
            <w:pPr>
              <w:spacing w:after="0" w:line="240" w:lineRule="auto"/>
              <w:jc w:val="center"/>
              <w:rPr>
                <w:rFonts w:ascii="Times New Roman" w:eastAsia="SimSun" w:hAnsi="Times New Roman" w:cs="Times New Roman"/>
                <w:b/>
              </w:rPr>
            </w:pPr>
          </w:p>
        </w:tc>
        <w:tc>
          <w:tcPr>
            <w:tcW w:w="3070" w:type="dxa"/>
            <w:vAlign w:val="center"/>
          </w:tcPr>
          <w:p w:rsidR="003D40A3" w:rsidRPr="000027BF" w:rsidRDefault="00226645" w:rsidP="000027BF">
            <w:pPr>
              <w:spacing w:after="0" w:line="240" w:lineRule="auto"/>
              <w:jc w:val="center"/>
              <w:rPr>
                <w:rFonts w:ascii="Times New Roman" w:eastAsia="SimSun" w:hAnsi="Times New Roman" w:cs="Times New Roman"/>
              </w:rPr>
            </w:pPr>
            <w:r w:rsidRPr="000027BF">
              <w:rPr>
                <w:rFonts w:ascii="Times New Roman" w:eastAsia="SimSun" w:hAnsi="Times New Roman" w:cs="Times New Roman"/>
              </w:rPr>
              <w:t>0</w:t>
            </w:r>
            <w:r w:rsidR="003D40A3" w:rsidRPr="000027BF">
              <w:rPr>
                <w:rFonts w:ascii="Times New Roman" w:eastAsia="SimSun" w:hAnsi="Times New Roman" w:cs="Times New Roman"/>
              </w:rPr>
              <w:t>%</w:t>
            </w:r>
          </w:p>
        </w:tc>
        <w:tc>
          <w:tcPr>
            <w:tcW w:w="3070" w:type="dxa"/>
            <w:vAlign w:val="center"/>
          </w:tcPr>
          <w:p w:rsidR="003D40A3" w:rsidRPr="000027BF" w:rsidRDefault="00226645" w:rsidP="000027BF">
            <w:pPr>
              <w:spacing w:after="0" w:line="240" w:lineRule="auto"/>
              <w:jc w:val="center"/>
              <w:rPr>
                <w:rFonts w:ascii="Times New Roman" w:eastAsia="SimSun" w:hAnsi="Times New Roman" w:cs="Times New Roman"/>
              </w:rPr>
            </w:pPr>
            <w:r w:rsidRPr="000027BF">
              <w:rPr>
                <w:rFonts w:ascii="Times New Roman" w:eastAsia="SimSun" w:hAnsi="Times New Roman" w:cs="Times New Roman"/>
              </w:rPr>
              <w:t>0</w:t>
            </w:r>
            <w:r w:rsidR="003D40A3" w:rsidRPr="000027BF">
              <w:rPr>
                <w:rFonts w:ascii="Times New Roman" w:eastAsia="SimSun" w:hAnsi="Times New Roman" w:cs="Times New Roman"/>
              </w:rPr>
              <w:t>%</w:t>
            </w:r>
          </w:p>
        </w:tc>
      </w:tr>
      <w:tr w:rsidR="003D40A3" w:rsidRPr="003D40A3" w:rsidTr="000027BF">
        <w:tc>
          <w:tcPr>
            <w:tcW w:w="3070" w:type="dxa"/>
            <w:vAlign w:val="center"/>
          </w:tcPr>
          <w:p w:rsidR="000027BF" w:rsidRDefault="000027BF" w:rsidP="000027BF">
            <w:pPr>
              <w:spacing w:after="0" w:line="240" w:lineRule="auto"/>
              <w:jc w:val="center"/>
              <w:rPr>
                <w:rFonts w:ascii="Times New Roman" w:eastAsia="SimSun" w:hAnsi="Times New Roman" w:cs="Times New Roman"/>
                <w:b/>
              </w:rPr>
            </w:pPr>
          </w:p>
          <w:p w:rsidR="003D40A3" w:rsidRDefault="003D40A3" w:rsidP="000027BF">
            <w:pPr>
              <w:spacing w:after="0" w:line="240" w:lineRule="auto"/>
              <w:jc w:val="center"/>
              <w:rPr>
                <w:rFonts w:ascii="Times New Roman" w:eastAsia="SimSun" w:hAnsi="Times New Roman" w:cs="Times New Roman"/>
                <w:b/>
              </w:rPr>
            </w:pPr>
            <w:r w:rsidRPr="003D40A3">
              <w:rPr>
                <w:rFonts w:ascii="Times New Roman" w:eastAsia="SimSun" w:hAnsi="Times New Roman" w:cs="Times New Roman"/>
                <w:b/>
              </w:rPr>
              <w:t>International audience</w:t>
            </w:r>
          </w:p>
          <w:p w:rsidR="000027BF" w:rsidRPr="003D40A3" w:rsidRDefault="000027BF" w:rsidP="000027BF">
            <w:pPr>
              <w:spacing w:after="0" w:line="240" w:lineRule="auto"/>
              <w:jc w:val="center"/>
              <w:rPr>
                <w:rFonts w:ascii="Times New Roman" w:eastAsia="SimSun" w:hAnsi="Times New Roman" w:cs="Times New Roman"/>
                <w:b/>
              </w:rPr>
            </w:pPr>
          </w:p>
        </w:tc>
        <w:tc>
          <w:tcPr>
            <w:tcW w:w="3070" w:type="dxa"/>
            <w:vAlign w:val="center"/>
          </w:tcPr>
          <w:p w:rsidR="003D40A3" w:rsidRPr="000027BF" w:rsidRDefault="00226645" w:rsidP="000027BF">
            <w:pPr>
              <w:spacing w:after="0" w:line="240" w:lineRule="auto"/>
              <w:jc w:val="center"/>
              <w:rPr>
                <w:rFonts w:ascii="Times New Roman" w:eastAsia="SimSun" w:hAnsi="Times New Roman" w:cs="Times New Roman"/>
              </w:rPr>
            </w:pPr>
            <w:r w:rsidRPr="000027BF">
              <w:rPr>
                <w:rFonts w:ascii="Times New Roman" w:eastAsia="SimSun" w:hAnsi="Times New Roman" w:cs="Times New Roman"/>
              </w:rPr>
              <w:t>100</w:t>
            </w:r>
            <w:r w:rsidR="003D40A3" w:rsidRPr="000027BF">
              <w:rPr>
                <w:rFonts w:ascii="Times New Roman" w:eastAsia="SimSun" w:hAnsi="Times New Roman" w:cs="Times New Roman"/>
              </w:rPr>
              <w:t>%</w:t>
            </w:r>
          </w:p>
        </w:tc>
        <w:tc>
          <w:tcPr>
            <w:tcW w:w="3070" w:type="dxa"/>
            <w:vAlign w:val="center"/>
          </w:tcPr>
          <w:p w:rsidR="003D40A3" w:rsidRPr="000027BF" w:rsidRDefault="00226645" w:rsidP="000027BF">
            <w:pPr>
              <w:spacing w:after="0" w:line="240" w:lineRule="auto"/>
              <w:jc w:val="center"/>
              <w:rPr>
                <w:rFonts w:ascii="Times New Roman" w:eastAsia="SimSun" w:hAnsi="Times New Roman" w:cs="Times New Roman"/>
              </w:rPr>
            </w:pPr>
            <w:r w:rsidRPr="000027BF">
              <w:rPr>
                <w:rFonts w:ascii="Times New Roman" w:eastAsia="SimSun" w:hAnsi="Times New Roman" w:cs="Times New Roman"/>
              </w:rPr>
              <w:t>0</w:t>
            </w:r>
            <w:r w:rsidR="003D40A3" w:rsidRPr="000027BF">
              <w:rPr>
                <w:rFonts w:ascii="Times New Roman" w:eastAsia="SimSun" w:hAnsi="Times New Roman" w:cs="Times New Roman"/>
              </w:rPr>
              <w:t>%</w:t>
            </w:r>
          </w:p>
        </w:tc>
      </w:tr>
    </w:tbl>
    <w:p w:rsidR="005267D5" w:rsidRPr="00E47DC3" w:rsidRDefault="005267D5" w:rsidP="005267D5">
      <w:pPr>
        <w:tabs>
          <w:tab w:val="left" w:pos="3805"/>
        </w:tabs>
        <w:spacing w:after="0" w:line="240" w:lineRule="auto"/>
        <w:rPr>
          <w:rFonts w:ascii="Times New Roman" w:eastAsia="SimSun" w:hAnsi="Times New Roman" w:cs="Times New Roman"/>
          <w:b/>
          <w:sz w:val="24"/>
          <w:szCs w:val="24"/>
          <w:lang w:eastAsia="nb-NO"/>
        </w:rPr>
      </w:pPr>
    </w:p>
    <w:p w:rsidR="00515627" w:rsidRDefault="00515627" w:rsidP="005267D5">
      <w:pPr>
        <w:tabs>
          <w:tab w:val="left" w:pos="3805"/>
        </w:tabs>
        <w:spacing w:after="0" w:line="240" w:lineRule="auto"/>
        <w:rPr>
          <w:rFonts w:ascii="Times New Roman" w:eastAsia="SimSun" w:hAnsi="Times New Roman" w:cs="Times New Roman"/>
          <w:b/>
          <w:sz w:val="24"/>
          <w:szCs w:val="24"/>
          <w:lang w:eastAsia="nb-NO"/>
        </w:rPr>
      </w:pPr>
    </w:p>
    <w:p w:rsidR="0008038A" w:rsidRPr="00E47DC3" w:rsidRDefault="005267D5" w:rsidP="005267D5">
      <w:pPr>
        <w:tabs>
          <w:tab w:val="left" w:pos="3805"/>
        </w:tabs>
        <w:spacing w:after="0" w:line="240" w:lineRule="auto"/>
        <w:rPr>
          <w:rFonts w:ascii="Times New Roman" w:eastAsia="Calibri" w:hAnsi="Times New Roman" w:cs="Times New Roman"/>
          <w:sz w:val="24"/>
          <w:szCs w:val="24"/>
          <w:lang w:eastAsia="en-US"/>
        </w:rPr>
      </w:pPr>
      <w:r w:rsidRPr="00E47DC3">
        <w:rPr>
          <w:rFonts w:ascii="Times New Roman" w:eastAsia="SimSun" w:hAnsi="Times New Roman" w:cs="Times New Roman"/>
          <w:b/>
          <w:sz w:val="24"/>
          <w:szCs w:val="24"/>
          <w:lang w:eastAsia="nb-NO"/>
        </w:rPr>
        <w:tab/>
      </w:r>
    </w:p>
    <w:p w:rsidR="007102FE" w:rsidRPr="0008038A" w:rsidRDefault="007102FE" w:rsidP="007102FE">
      <w:pPr>
        <w:numPr>
          <w:ilvl w:val="0"/>
          <w:numId w:val="5"/>
        </w:numPr>
        <w:autoSpaceDE w:val="0"/>
        <w:autoSpaceDN w:val="0"/>
        <w:adjustRightInd w:val="0"/>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 xml:space="preserve">Please describe the significance of external research funding to the development of scientific quality within the research discipline. </w:t>
      </w:r>
    </w:p>
    <w:p w:rsidR="007102FE" w:rsidRDefault="007102FE" w:rsidP="007102FE">
      <w:pPr>
        <w:autoSpaceDE w:val="0"/>
        <w:autoSpaceDN w:val="0"/>
        <w:adjustRightInd w:val="0"/>
        <w:spacing w:after="0" w:line="240" w:lineRule="auto"/>
        <w:jc w:val="both"/>
        <w:rPr>
          <w:rFonts w:ascii="Times New Roman" w:eastAsia="Calibri" w:hAnsi="Times New Roman" w:cs="Times New Roman"/>
          <w:sz w:val="24"/>
          <w:szCs w:val="24"/>
          <w:lang w:val="en-GB" w:eastAsia="en-US"/>
        </w:rPr>
      </w:pPr>
    </w:p>
    <w:p w:rsidR="00553B7E" w:rsidRDefault="0060579A" w:rsidP="00553B7E">
      <w:pPr>
        <w:autoSpaceDE w:val="0"/>
        <w:autoSpaceDN w:val="0"/>
        <w:adjustRightInd w:val="0"/>
        <w:spacing w:after="0" w:line="240" w:lineRule="auto"/>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TIK’s research in</w:t>
      </w:r>
      <w:r w:rsidR="00553B7E" w:rsidRPr="00553B7E">
        <w:rPr>
          <w:rFonts w:ascii="Times New Roman" w:eastAsia="Calibri" w:hAnsi="Times New Roman" w:cs="Times New Roman"/>
          <w:sz w:val="24"/>
          <w:szCs w:val="24"/>
          <w:lang w:val="en-GB" w:eastAsia="en-US"/>
        </w:rPr>
        <w:t xml:space="preserve"> innovation </w:t>
      </w:r>
      <w:r>
        <w:rPr>
          <w:rFonts w:ascii="Times New Roman" w:eastAsia="Calibri" w:hAnsi="Times New Roman" w:cs="Times New Roman"/>
          <w:sz w:val="24"/>
          <w:szCs w:val="24"/>
          <w:lang w:val="en-GB" w:eastAsia="en-US"/>
        </w:rPr>
        <w:t>studies</w:t>
      </w:r>
      <w:r w:rsidR="00553B7E" w:rsidRPr="00553B7E">
        <w:rPr>
          <w:rFonts w:ascii="Times New Roman" w:eastAsia="Calibri" w:hAnsi="Times New Roman" w:cs="Times New Roman"/>
          <w:sz w:val="24"/>
          <w:szCs w:val="24"/>
          <w:lang w:val="en-GB" w:eastAsia="en-US"/>
        </w:rPr>
        <w:t xml:space="preserve"> is highly dependent upon external funding</w:t>
      </w:r>
      <w:r>
        <w:rPr>
          <w:rFonts w:ascii="Times New Roman" w:eastAsia="Calibri" w:hAnsi="Times New Roman" w:cs="Times New Roman"/>
          <w:sz w:val="24"/>
          <w:szCs w:val="24"/>
          <w:lang w:val="en-GB" w:eastAsia="en-US"/>
        </w:rPr>
        <w:t xml:space="preserve">. </w:t>
      </w:r>
      <w:r w:rsidR="00553B7E" w:rsidRPr="00553B7E">
        <w:rPr>
          <w:rFonts w:ascii="Times New Roman" w:eastAsia="Calibri" w:hAnsi="Times New Roman" w:cs="Times New Roman"/>
          <w:sz w:val="24"/>
          <w:szCs w:val="24"/>
          <w:lang w:val="en-GB" w:eastAsia="en-US"/>
        </w:rPr>
        <w:t xml:space="preserve">If we focus only on R&amp;D expenses, more than 80 per cent of the group’s funding is external, which generates a high working pressure and other challenges. External funding is an essential part of discussions among </w:t>
      </w:r>
      <w:r>
        <w:rPr>
          <w:rFonts w:ascii="Times New Roman" w:eastAsia="Calibri" w:hAnsi="Times New Roman" w:cs="Times New Roman"/>
          <w:sz w:val="24"/>
          <w:szCs w:val="24"/>
          <w:lang w:val="en-GB" w:eastAsia="en-US"/>
        </w:rPr>
        <w:t>researchers</w:t>
      </w:r>
      <w:r w:rsidR="00553B7E" w:rsidRPr="00553B7E">
        <w:rPr>
          <w:rFonts w:ascii="Times New Roman" w:eastAsia="Calibri" w:hAnsi="Times New Roman" w:cs="Times New Roman"/>
          <w:sz w:val="24"/>
          <w:szCs w:val="24"/>
          <w:lang w:val="en-GB" w:eastAsia="en-US"/>
        </w:rPr>
        <w:t xml:space="preserve"> in the group, and the group has had a number of large-scale and smaller projects from RCN, EU (Horizon2020), OECD and industry in recent years.</w:t>
      </w:r>
    </w:p>
    <w:p w:rsidR="000027BF" w:rsidRDefault="000027BF" w:rsidP="00553B7E">
      <w:pPr>
        <w:autoSpaceDE w:val="0"/>
        <w:autoSpaceDN w:val="0"/>
        <w:adjustRightInd w:val="0"/>
        <w:spacing w:after="0" w:line="240" w:lineRule="auto"/>
        <w:jc w:val="both"/>
        <w:rPr>
          <w:rFonts w:ascii="Times New Roman" w:eastAsia="Calibri" w:hAnsi="Times New Roman" w:cs="Times New Roman"/>
          <w:sz w:val="24"/>
          <w:szCs w:val="24"/>
          <w:lang w:val="en-GB" w:eastAsia="en-US"/>
        </w:rPr>
      </w:pPr>
    </w:p>
    <w:p w:rsidR="0060579A" w:rsidRDefault="0060579A" w:rsidP="00553B7E">
      <w:pPr>
        <w:autoSpaceDE w:val="0"/>
        <w:autoSpaceDN w:val="0"/>
        <w:adjustRightInd w:val="0"/>
        <w:spacing w:after="0" w:line="240" w:lineRule="auto"/>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The reason for the great and increasing share of external funding is twofold: on the one hand,</w:t>
      </w:r>
      <w:r w:rsidRPr="00553B7E">
        <w:rPr>
          <w:rFonts w:ascii="Times New Roman" w:eastAsia="Calibri" w:hAnsi="Times New Roman" w:cs="Times New Roman"/>
          <w:sz w:val="24"/>
          <w:szCs w:val="24"/>
          <w:lang w:val="en-GB" w:eastAsia="en-US"/>
        </w:rPr>
        <w:t xml:space="preserve"> TIK’s core funding has decreased slightly in real terms every year since 2003</w:t>
      </w:r>
      <w:r>
        <w:rPr>
          <w:rFonts w:ascii="Times New Roman" w:eastAsia="Calibri" w:hAnsi="Times New Roman" w:cs="Times New Roman"/>
          <w:sz w:val="24"/>
          <w:szCs w:val="24"/>
          <w:lang w:val="en-GB" w:eastAsia="en-US"/>
        </w:rPr>
        <w:t>, generating a greater need to acquire external funding; on the other hand, most research themes in TIK’s fields of expertise have great societal and policy relevance, so that there is high demand for projects in this field both in Norway and at the EU level</w:t>
      </w:r>
      <w:r w:rsidRPr="00553B7E">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 xml:space="preserve"> </w:t>
      </w:r>
      <w:r w:rsidR="00B37C2C">
        <w:rPr>
          <w:rFonts w:ascii="Times New Roman" w:eastAsia="Calibri" w:hAnsi="Times New Roman" w:cs="Times New Roman"/>
          <w:sz w:val="24"/>
          <w:szCs w:val="24"/>
          <w:lang w:val="en-GB" w:eastAsia="en-US"/>
        </w:rPr>
        <w:t>As illustrated in table 3 below, many of the externally funded research projects on innovation are closely related to some of the priority areas identified in the l</w:t>
      </w:r>
      <w:r w:rsidR="00B37C2C" w:rsidRPr="00B37C2C">
        <w:rPr>
          <w:rFonts w:ascii="Times New Roman" w:eastAsia="Calibri" w:hAnsi="Times New Roman" w:cs="Times New Roman"/>
          <w:sz w:val="24"/>
          <w:szCs w:val="24"/>
          <w:lang w:val="en-GB" w:eastAsia="en-US"/>
        </w:rPr>
        <w:t>ong-term plan (LTP) for research and higher education 2015–2024</w:t>
      </w:r>
      <w:r w:rsidR="00B37C2C">
        <w:rPr>
          <w:rFonts w:ascii="Times New Roman" w:eastAsia="Calibri" w:hAnsi="Times New Roman" w:cs="Times New Roman"/>
          <w:sz w:val="24"/>
          <w:szCs w:val="24"/>
          <w:lang w:val="en-GB" w:eastAsia="en-US"/>
        </w:rPr>
        <w:t>.</w:t>
      </w:r>
      <w:r w:rsidR="00B37C2C" w:rsidRPr="00B37C2C">
        <w:rPr>
          <w:rFonts w:ascii="Times New Roman" w:eastAsia="Calibri" w:hAnsi="Times New Roman" w:cs="Times New Roman"/>
          <w:sz w:val="24"/>
          <w:szCs w:val="24"/>
          <w:lang w:val="en-GB" w:eastAsia="en-US"/>
        </w:rPr>
        <w:t xml:space="preserve"> </w:t>
      </w:r>
      <w:r w:rsidR="00B37C2C">
        <w:rPr>
          <w:rFonts w:ascii="Times New Roman" w:eastAsia="Calibri" w:hAnsi="Times New Roman" w:cs="Times New Roman"/>
          <w:sz w:val="24"/>
          <w:szCs w:val="24"/>
          <w:lang w:val="en-GB" w:eastAsia="en-US"/>
        </w:rPr>
        <w:t>For both of these reasons, it is natural to carry out much of the centre’s research in innovation studies on a project basis, and with the objective of combining high academic quality with high societal relevance.</w:t>
      </w:r>
    </w:p>
    <w:p w:rsidR="0060579A" w:rsidRPr="00553B7E" w:rsidRDefault="0060579A" w:rsidP="00553B7E">
      <w:pPr>
        <w:autoSpaceDE w:val="0"/>
        <w:autoSpaceDN w:val="0"/>
        <w:adjustRightInd w:val="0"/>
        <w:spacing w:after="0" w:line="240" w:lineRule="auto"/>
        <w:jc w:val="both"/>
        <w:rPr>
          <w:rFonts w:ascii="Times New Roman" w:eastAsia="Calibri" w:hAnsi="Times New Roman" w:cs="Times New Roman"/>
          <w:sz w:val="24"/>
          <w:szCs w:val="24"/>
          <w:lang w:val="en-GB" w:eastAsia="en-US"/>
        </w:rPr>
      </w:pPr>
    </w:p>
    <w:p w:rsidR="00CF7207" w:rsidRDefault="00CF7207" w:rsidP="007102FE">
      <w:pPr>
        <w:autoSpaceDE w:val="0"/>
        <w:autoSpaceDN w:val="0"/>
        <w:adjustRightInd w:val="0"/>
        <w:spacing w:after="0" w:line="240" w:lineRule="auto"/>
        <w:jc w:val="both"/>
        <w:rPr>
          <w:rFonts w:ascii="Times New Roman" w:eastAsia="Calibri" w:hAnsi="Times New Roman" w:cs="Times New Roman"/>
          <w:sz w:val="24"/>
          <w:szCs w:val="24"/>
          <w:lang w:val="en-GB" w:eastAsia="en-US"/>
        </w:rPr>
      </w:pPr>
    </w:p>
    <w:p w:rsidR="00CF7207" w:rsidRPr="007102FE" w:rsidRDefault="00CF7207" w:rsidP="007102FE">
      <w:pPr>
        <w:autoSpaceDE w:val="0"/>
        <w:autoSpaceDN w:val="0"/>
        <w:adjustRightInd w:val="0"/>
        <w:spacing w:after="0" w:line="240" w:lineRule="auto"/>
        <w:jc w:val="both"/>
        <w:rPr>
          <w:rFonts w:ascii="Times New Roman" w:eastAsia="Calibri" w:hAnsi="Times New Roman" w:cs="Times New Roman"/>
          <w:sz w:val="24"/>
          <w:szCs w:val="24"/>
          <w:lang w:val="en-GB" w:eastAsia="en-US"/>
        </w:rPr>
      </w:pPr>
    </w:p>
    <w:p w:rsidR="007102FE" w:rsidRPr="00180A0B" w:rsidRDefault="007102FE"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color w:val="FF0000"/>
          <w:sz w:val="28"/>
          <w:szCs w:val="28"/>
          <w:lang w:val="en-GB" w:eastAsia="en-US"/>
        </w:rPr>
      </w:pPr>
      <w:r w:rsidRPr="007102FE">
        <w:rPr>
          <w:rFonts w:ascii="Times New Roman" w:eastAsia="SimSun" w:hAnsi="Times New Roman" w:cs="Times New Roman"/>
          <w:b/>
          <w:bCs/>
          <w:sz w:val="28"/>
          <w:szCs w:val="28"/>
          <w:lang w:val="en-GB" w:eastAsia="en-US"/>
        </w:rPr>
        <w:t xml:space="preserve">Gender perspectives </w:t>
      </w:r>
    </w:p>
    <w:p w:rsidR="00180A0B" w:rsidRPr="007102FE" w:rsidRDefault="00180A0B"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sz w:val="24"/>
          <w:szCs w:val="24"/>
          <w:lang w:val="en-GB" w:eastAsia="en-US"/>
        </w:rPr>
      </w:pPr>
    </w:p>
    <w:p w:rsidR="007102FE" w:rsidRPr="0008038A" w:rsidRDefault="007102FE" w:rsidP="00180A0B">
      <w:pPr>
        <w:pStyle w:val="ListParagraph"/>
        <w:numPr>
          <w:ilvl w:val="0"/>
          <w:numId w:val="8"/>
        </w:numPr>
        <w:spacing w:after="0" w:line="240" w:lineRule="auto"/>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Describe the extent to which gender perspectives are integrated in the research within the discipline, providing examples of relevant projects and/or publications.</w:t>
      </w:r>
    </w:p>
    <w:p w:rsidR="00180A0B" w:rsidRDefault="00180A0B" w:rsidP="0008038A">
      <w:pPr>
        <w:spacing w:after="0" w:line="240" w:lineRule="auto"/>
        <w:jc w:val="both"/>
        <w:rPr>
          <w:rFonts w:ascii="Times New Roman" w:eastAsia="Calibri" w:hAnsi="Times New Roman" w:cs="Times New Roman"/>
          <w:sz w:val="24"/>
          <w:szCs w:val="24"/>
          <w:lang w:val="en-GB" w:eastAsia="en-US"/>
        </w:rPr>
      </w:pPr>
    </w:p>
    <w:p w:rsidR="0008038A" w:rsidRDefault="00C1502E" w:rsidP="00C1502E">
      <w:pPr>
        <w:spacing w:after="0" w:line="240" w:lineRule="auto"/>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The field of innovation studies does not present gender issues or unbalances. TIK’s staff in innovation studies has at present a quite balanced representation of male and female researchers (ca. 50% each). The Centre follows strictly the Faculty’s guidelines on gender representation. In particular, all recruitment processes must ensure representation of both genders in scientific committees. Further, female Associate Professors that seek to qualify for the Professor level can benefit of a special Faculty’s support scheme in the period before the application. Last but not least, according to the Faculty’s gender policy, in all Departments adjunct Professors (Professor II) have always to maintain a balance between female and male researchers.</w:t>
      </w:r>
    </w:p>
    <w:p w:rsidR="0008038A" w:rsidRDefault="0008038A" w:rsidP="0008038A">
      <w:pPr>
        <w:spacing w:after="0" w:line="240" w:lineRule="auto"/>
        <w:jc w:val="both"/>
        <w:rPr>
          <w:rFonts w:ascii="Times New Roman" w:eastAsia="Calibri" w:hAnsi="Times New Roman" w:cs="Times New Roman"/>
          <w:sz w:val="24"/>
          <w:szCs w:val="24"/>
          <w:lang w:val="en-GB" w:eastAsia="en-US"/>
        </w:rPr>
      </w:pPr>
    </w:p>
    <w:p w:rsidR="00C1502E" w:rsidRPr="0008038A" w:rsidRDefault="00C1502E" w:rsidP="0008038A">
      <w:pPr>
        <w:spacing w:after="0" w:line="240" w:lineRule="auto"/>
        <w:jc w:val="both"/>
        <w:rPr>
          <w:rFonts w:ascii="Times New Roman" w:eastAsia="Calibri" w:hAnsi="Times New Roman" w:cs="Times New Roman"/>
          <w:sz w:val="24"/>
          <w:szCs w:val="24"/>
          <w:lang w:val="en-GB" w:eastAsia="en-US"/>
        </w:rPr>
      </w:pPr>
    </w:p>
    <w:p w:rsidR="00CF7207" w:rsidRPr="007102FE" w:rsidRDefault="00CF7207" w:rsidP="00CF7207">
      <w:pPr>
        <w:spacing w:after="0" w:line="240" w:lineRule="auto"/>
        <w:jc w:val="both"/>
        <w:rPr>
          <w:rFonts w:ascii="Times New Roman" w:eastAsia="Calibri" w:hAnsi="Times New Roman" w:cs="Times New Roman"/>
          <w:sz w:val="24"/>
          <w:szCs w:val="24"/>
          <w:lang w:val="en-GB" w:eastAsia="en-US"/>
        </w:rPr>
      </w:pPr>
    </w:p>
    <w:p w:rsidR="007102FE" w:rsidRPr="00180A0B" w:rsidRDefault="007102FE"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color w:val="FF0000"/>
          <w:sz w:val="28"/>
          <w:szCs w:val="28"/>
          <w:lang w:val="en-GB" w:eastAsia="en-US"/>
        </w:rPr>
      </w:pPr>
      <w:r w:rsidRPr="007102FE">
        <w:rPr>
          <w:rFonts w:ascii="Times New Roman" w:eastAsia="SimSun" w:hAnsi="Times New Roman" w:cs="Times New Roman"/>
          <w:b/>
          <w:bCs/>
          <w:sz w:val="28"/>
          <w:szCs w:val="28"/>
          <w:lang w:val="en-GB" w:eastAsia="en-US"/>
        </w:rPr>
        <w:t xml:space="preserve">Interplay between research and education </w:t>
      </w:r>
    </w:p>
    <w:p w:rsidR="00180A0B" w:rsidRPr="007102FE" w:rsidRDefault="00180A0B"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sz w:val="24"/>
          <w:szCs w:val="24"/>
          <w:lang w:val="en-GB" w:eastAsia="en-US"/>
        </w:rPr>
      </w:pPr>
    </w:p>
    <w:p w:rsidR="007102FE" w:rsidRPr="0008038A" w:rsidRDefault="007102FE" w:rsidP="007102FE">
      <w:pPr>
        <w:numPr>
          <w:ilvl w:val="0"/>
          <w:numId w:val="3"/>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Indicate the linkages between the research within the panels of the evaluation and the study programmes offered by the institution. Use the enclosed excel file to indicate the study programmes based on the teaching activities of the researchers to be evaluated by the panel. If applicable, list research groups that are linked with the study programmes.</w:t>
      </w:r>
    </w:p>
    <w:p w:rsidR="00180A0B" w:rsidRDefault="00180A0B" w:rsidP="0008038A">
      <w:pPr>
        <w:spacing w:after="0" w:line="240" w:lineRule="auto"/>
        <w:contextualSpacing/>
        <w:jc w:val="both"/>
        <w:rPr>
          <w:rFonts w:ascii="Times New Roman" w:eastAsia="Calibri" w:hAnsi="Times New Roman" w:cs="Times New Roman"/>
          <w:sz w:val="24"/>
          <w:szCs w:val="24"/>
          <w:lang w:val="en-GB" w:eastAsia="en-US"/>
        </w:rPr>
      </w:pPr>
    </w:p>
    <w:p w:rsidR="00E626A4" w:rsidRDefault="00C1502E"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Innovation studies researchers at TIK</w:t>
      </w:r>
      <w:r w:rsidR="006542C7" w:rsidRPr="006542C7">
        <w:rPr>
          <w:rFonts w:ascii="Times New Roman" w:eastAsia="Calibri" w:hAnsi="Times New Roman" w:cs="Times New Roman"/>
          <w:sz w:val="24"/>
          <w:szCs w:val="24"/>
          <w:lang w:val="en-GB" w:eastAsia="en-US"/>
        </w:rPr>
        <w:t xml:space="preserve"> regularly teach </w:t>
      </w:r>
      <w:r w:rsidR="00E626A4">
        <w:rPr>
          <w:rFonts w:ascii="Times New Roman" w:eastAsia="Calibri" w:hAnsi="Times New Roman" w:cs="Times New Roman"/>
          <w:sz w:val="24"/>
          <w:szCs w:val="24"/>
          <w:lang w:val="en-GB" w:eastAsia="en-US"/>
        </w:rPr>
        <w:t xml:space="preserve">and supervise students </w:t>
      </w:r>
      <w:r w:rsidR="006542C7" w:rsidRPr="006542C7">
        <w:rPr>
          <w:rFonts w:ascii="Times New Roman" w:eastAsia="Calibri" w:hAnsi="Times New Roman" w:cs="Times New Roman"/>
          <w:sz w:val="24"/>
          <w:szCs w:val="24"/>
          <w:lang w:val="en-GB" w:eastAsia="en-US"/>
        </w:rPr>
        <w:t xml:space="preserve">at </w:t>
      </w:r>
      <w:r>
        <w:rPr>
          <w:rFonts w:ascii="Times New Roman" w:eastAsia="Calibri" w:hAnsi="Times New Roman" w:cs="Times New Roman"/>
          <w:sz w:val="24"/>
          <w:szCs w:val="24"/>
          <w:lang w:val="en-GB" w:eastAsia="en-US"/>
        </w:rPr>
        <w:t>the Centre</w:t>
      </w:r>
      <w:r w:rsidR="006542C7" w:rsidRPr="006542C7">
        <w:rPr>
          <w:rFonts w:ascii="Times New Roman" w:eastAsia="Calibri" w:hAnsi="Times New Roman" w:cs="Times New Roman"/>
          <w:sz w:val="24"/>
          <w:szCs w:val="24"/>
          <w:lang w:val="en-GB" w:eastAsia="en-US"/>
        </w:rPr>
        <w:t>’s two master programmes</w:t>
      </w:r>
      <w:r w:rsidR="00E626A4">
        <w:rPr>
          <w:rFonts w:ascii="Times New Roman" w:eastAsia="Calibri" w:hAnsi="Times New Roman" w:cs="Times New Roman"/>
          <w:sz w:val="24"/>
          <w:szCs w:val="24"/>
          <w:lang w:val="en-GB" w:eastAsia="en-US"/>
        </w:rPr>
        <w:t xml:space="preserve">: Technology, Innovation and Knowledge (TIK, 2-year Master degree), and Society, Science and Technology in Europe (ESST, 1,5-year Master degree). </w:t>
      </w:r>
      <w:r w:rsidR="009B5C46">
        <w:rPr>
          <w:rFonts w:ascii="Times New Roman" w:eastAsia="Calibri" w:hAnsi="Times New Roman" w:cs="Times New Roman"/>
          <w:sz w:val="24"/>
          <w:szCs w:val="24"/>
          <w:lang w:val="en-GB" w:eastAsia="en-US"/>
        </w:rPr>
        <w:t>See enclosed</w:t>
      </w:r>
      <w:r w:rsidR="009B5C46" w:rsidRPr="009B5C46">
        <w:rPr>
          <w:rFonts w:ascii="Times New Roman" w:eastAsia="Calibri" w:hAnsi="Times New Roman" w:cs="Times New Roman"/>
          <w:sz w:val="24"/>
          <w:szCs w:val="24"/>
          <w:lang w:val="en-GB" w:eastAsia="en-US"/>
        </w:rPr>
        <w:t xml:space="preserve"> Excel-file </w:t>
      </w:r>
      <w:r w:rsidR="009B5C46">
        <w:rPr>
          <w:rFonts w:ascii="Times New Roman" w:eastAsia="Calibri" w:hAnsi="Times New Roman" w:cs="Times New Roman"/>
          <w:sz w:val="24"/>
          <w:szCs w:val="24"/>
          <w:lang w:val="en-GB" w:eastAsia="en-US"/>
        </w:rPr>
        <w:t>“</w:t>
      </w:r>
      <w:r w:rsidR="009B5C46" w:rsidRPr="009B5C46">
        <w:rPr>
          <w:rFonts w:ascii="Times New Roman" w:eastAsia="Calibri" w:hAnsi="Times New Roman" w:cs="Times New Roman"/>
          <w:sz w:val="24"/>
          <w:szCs w:val="24"/>
          <w:lang w:val="en-GB" w:eastAsia="en-US"/>
        </w:rPr>
        <w:t>Overview of study programmes</w:t>
      </w:r>
      <w:r w:rsidR="009B5C46">
        <w:rPr>
          <w:rFonts w:ascii="Times New Roman" w:eastAsia="Calibri" w:hAnsi="Times New Roman" w:cs="Times New Roman"/>
          <w:sz w:val="24"/>
          <w:szCs w:val="24"/>
          <w:lang w:val="en-GB" w:eastAsia="en-US"/>
        </w:rPr>
        <w:t>”.</w:t>
      </w:r>
      <w:r w:rsidR="009B5C46" w:rsidRPr="009B5C46">
        <w:rPr>
          <w:rFonts w:ascii="Times New Roman" w:eastAsia="Calibri" w:hAnsi="Times New Roman" w:cs="Times New Roman"/>
          <w:sz w:val="24"/>
          <w:szCs w:val="24"/>
          <w:lang w:val="en-GB" w:eastAsia="en-US"/>
        </w:rPr>
        <w:t xml:space="preserve"> </w:t>
      </w:r>
      <w:r w:rsidR="00E626A4">
        <w:rPr>
          <w:rFonts w:ascii="Times New Roman" w:eastAsia="Calibri" w:hAnsi="Times New Roman" w:cs="Times New Roman"/>
          <w:sz w:val="24"/>
          <w:szCs w:val="24"/>
          <w:lang w:val="en-GB" w:eastAsia="en-US"/>
        </w:rPr>
        <w:t xml:space="preserve">These Master programs enrol 30 new students every year, which are selected from a total number of around 400 applicants. </w:t>
      </w:r>
    </w:p>
    <w:p w:rsidR="00E626A4" w:rsidRDefault="00E626A4" w:rsidP="0008038A">
      <w:pPr>
        <w:spacing w:after="0" w:line="240" w:lineRule="auto"/>
        <w:contextualSpacing/>
        <w:jc w:val="both"/>
        <w:rPr>
          <w:rFonts w:ascii="Times New Roman" w:eastAsia="Calibri" w:hAnsi="Times New Roman" w:cs="Times New Roman"/>
          <w:sz w:val="24"/>
          <w:szCs w:val="24"/>
          <w:lang w:val="en-GB" w:eastAsia="en-US"/>
        </w:rPr>
      </w:pPr>
    </w:p>
    <w:p w:rsidR="006542C7" w:rsidRDefault="00E626A4"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The structure and content of these programs is available at the web link: </w:t>
      </w:r>
      <w:hyperlink r:id="rId19" w:history="1">
        <w:r w:rsidRPr="001124D9">
          <w:rPr>
            <w:rStyle w:val="Hyperlink"/>
            <w:rFonts w:ascii="Times New Roman" w:eastAsia="Calibri" w:hAnsi="Times New Roman" w:cs="Times New Roman"/>
            <w:sz w:val="24"/>
            <w:szCs w:val="24"/>
            <w:lang w:val="en-GB" w:eastAsia="en-US"/>
          </w:rPr>
          <w:t>http://www.uio.no/studier/program/tik-master/oppbygging/</w:t>
        </w:r>
      </w:hyperlink>
      <w:r>
        <w:rPr>
          <w:rFonts w:ascii="Times New Roman" w:eastAsia="Calibri" w:hAnsi="Times New Roman" w:cs="Times New Roman"/>
          <w:sz w:val="24"/>
          <w:szCs w:val="24"/>
          <w:lang w:val="en-GB" w:eastAsia="en-US"/>
        </w:rPr>
        <w:t xml:space="preserve">. After taking a first introduction course in innovation, science and technology studies in the first semester, the students must choose a specialization during the second semester. </w:t>
      </w:r>
      <w:r w:rsidR="006542C7" w:rsidRPr="006542C7">
        <w:rPr>
          <w:rFonts w:ascii="Times New Roman" w:eastAsia="Calibri" w:hAnsi="Times New Roman" w:cs="Times New Roman"/>
          <w:sz w:val="24"/>
          <w:szCs w:val="24"/>
          <w:lang w:val="en-GB" w:eastAsia="en-US"/>
        </w:rPr>
        <w:t xml:space="preserve">Around tree out of four </w:t>
      </w:r>
      <w:r>
        <w:rPr>
          <w:rFonts w:ascii="Times New Roman" w:eastAsia="Calibri" w:hAnsi="Times New Roman" w:cs="Times New Roman"/>
          <w:sz w:val="24"/>
          <w:szCs w:val="24"/>
          <w:lang w:val="en-GB" w:eastAsia="en-US"/>
        </w:rPr>
        <w:t>M</w:t>
      </w:r>
      <w:r w:rsidR="006542C7" w:rsidRPr="006542C7">
        <w:rPr>
          <w:rFonts w:ascii="Times New Roman" w:eastAsia="Calibri" w:hAnsi="Times New Roman" w:cs="Times New Roman"/>
          <w:sz w:val="24"/>
          <w:szCs w:val="24"/>
          <w:lang w:val="en-GB" w:eastAsia="en-US"/>
        </w:rPr>
        <w:t>aster students</w:t>
      </w:r>
      <w:r>
        <w:rPr>
          <w:rFonts w:ascii="Times New Roman" w:eastAsia="Calibri" w:hAnsi="Times New Roman" w:cs="Times New Roman"/>
          <w:sz w:val="24"/>
          <w:szCs w:val="24"/>
          <w:lang w:val="en-GB" w:eastAsia="en-US"/>
        </w:rPr>
        <w:t>,</w:t>
      </w:r>
      <w:r w:rsidR="006542C7" w:rsidRPr="006542C7">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 xml:space="preserve">usually </w:t>
      </w:r>
      <w:r w:rsidR="006542C7" w:rsidRPr="006542C7">
        <w:rPr>
          <w:rFonts w:ascii="Times New Roman" w:eastAsia="Calibri" w:hAnsi="Times New Roman" w:cs="Times New Roman"/>
          <w:sz w:val="24"/>
          <w:szCs w:val="24"/>
          <w:lang w:val="en-GB" w:eastAsia="en-US"/>
        </w:rPr>
        <w:t>choose inno</w:t>
      </w:r>
      <w:r>
        <w:rPr>
          <w:rFonts w:ascii="Times New Roman" w:eastAsia="Calibri" w:hAnsi="Times New Roman" w:cs="Times New Roman"/>
          <w:sz w:val="24"/>
          <w:szCs w:val="24"/>
          <w:lang w:val="en-GB" w:eastAsia="en-US"/>
        </w:rPr>
        <w:t>vation as their specialisation, where TIK’s researchers in innovation studies teach the specialization courses, and supervise the students for their Master theses.</w:t>
      </w:r>
    </w:p>
    <w:p w:rsidR="00E626A4" w:rsidRDefault="00E626A4" w:rsidP="0008038A">
      <w:pPr>
        <w:spacing w:after="0" w:line="240" w:lineRule="auto"/>
        <w:contextualSpacing/>
        <w:jc w:val="both"/>
        <w:rPr>
          <w:rFonts w:ascii="Times New Roman" w:eastAsia="Calibri" w:hAnsi="Times New Roman" w:cs="Times New Roman"/>
          <w:sz w:val="24"/>
          <w:szCs w:val="24"/>
          <w:lang w:val="en-GB" w:eastAsia="en-US"/>
        </w:rPr>
      </w:pPr>
    </w:p>
    <w:p w:rsidR="0008038A" w:rsidRPr="007102FE" w:rsidRDefault="0008038A" w:rsidP="0008038A">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3"/>
        </w:numPr>
        <w:spacing w:after="0" w:line="240" w:lineRule="auto"/>
        <w:contextualSpacing/>
        <w:jc w:val="both"/>
        <w:rPr>
          <w:rFonts w:ascii="Times New Roman" w:eastAsia="Calibri" w:hAnsi="Times New Roman" w:cs="Times New Roman"/>
          <w:b/>
          <w:sz w:val="24"/>
          <w:szCs w:val="24"/>
          <w:lang w:eastAsia="en-US"/>
        </w:rPr>
      </w:pPr>
      <w:r w:rsidRPr="0008038A">
        <w:rPr>
          <w:rFonts w:ascii="Times New Roman" w:eastAsia="Calibri" w:hAnsi="Times New Roman" w:cs="Times New Roman"/>
          <w:b/>
          <w:sz w:val="24"/>
          <w:szCs w:val="24"/>
          <w:lang w:val="en-GB" w:eastAsia="en-US"/>
        </w:rPr>
        <w:t xml:space="preserve">To what extent are </w:t>
      </w:r>
      <w:r w:rsidRPr="0008038A">
        <w:rPr>
          <w:rFonts w:ascii="Times New Roman" w:eastAsia="Calibri" w:hAnsi="Times New Roman" w:cs="Times New Roman"/>
          <w:b/>
          <w:sz w:val="24"/>
          <w:szCs w:val="24"/>
          <w:lang w:eastAsia="en-US"/>
        </w:rPr>
        <w:t>students involved in staff research? Describe how and on what levels.</w:t>
      </w:r>
    </w:p>
    <w:p w:rsidR="00180A0B" w:rsidRDefault="00180A0B" w:rsidP="00180A0B">
      <w:pPr>
        <w:spacing w:after="0" w:line="240" w:lineRule="auto"/>
        <w:contextualSpacing/>
        <w:jc w:val="both"/>
        <w:rPr>
          <w:rFonts w:ascii="Times New Roman" w:eastAsia="Calibri" w:hAnsi="Times New Roman" w:cs="Times New Roman"/>
          <w:sz w:val="24"/>
          <w:szCs w:val="24"/>
          <w:lang w:eastAsia="en-US"/>
        </w:rPr>
      </w:pPr>
    </w:p>
    <w:p w:rsidR="00E626A4" w:rsidRDefault="00E626A4" w:rsidP="00180A0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Master students are involved in staff research in two ways. First, students are given the possibility to write their Master theses on topics that are related to some of the ongoing projects at TIK. This greatly facilitates the students’ work in defining a topic of interest, an original research question, and get access to data and documents of relevance with the support of the project team and framework. Second, a few selected students are invited to work on a part-time basis on some of TIK’s </w:t>
      </w:r>
      <w:r w:rsidR="009B5C46">
        <w:rPr>
          <w:rFonts w:ascii="Times New Roman" w:eastAsia="Calibri" w:hAnsi="Times New Roman" w:cs="Times New Roman"/>
          <w:sz w:val="24"/>
          <w:szCs w:val="24"/>
          <w:lang w:eastAsia="en-US"/>
        </w:rPr>
        <w:t>externally funded</w:t>
      </w:r>
      <w:r>
        <w:rPr>
          <w:rFonts w:ascii="Times New Roman" w:eastAsia="Calibri" w:hAnsi="Times New Roman" w:cs="Times New Roman"/>
          <w:sz w:val="24"/>
          <w:szCs w:val="24"/>
          <w:lang w:eastAsia="en-US"/>
        </w:rPr>
        <w:t xml:space="preserve"> projects</w:t>
      </w:r>
      <w:r w:rsidR="009B5C46">
        <w:rPr>
          <w:rFonts w:ascii="Times New Roman" w:eastAsia="Calibri" w:hAnsi="Times New Roman" w:cs="Times New Roman"/>
          <w:sz w:val="24"/>
          <w:szCs w:val="24"/>
          <w:lang w:eastAsia="en-US"/>
        </w:rPr>
        <w:t>. Every year, about 10% of TIK’s Master students work at the Centre as part-time research assistants, at the same time as they work on their Master theses.</w:t>
      </w:r>
    </w:p>
    <w:p w:rsidR="0008038A" w:rsidRDefault="0008038A" w:rsidP="00180A0B">
      <w:pPr>
        <w:spacing w:after="0" w:line="240" w:lineRule="auto"/>
        <w:contextualSpacing/>
        <w:jc w:val="both"/>
        <w:rPr>
          <w:rFonts w:ascii="Times New Roman" w:eastAsia="Calibri" w:hAnsi="Times New Roman" w:cs="Times New Roman"/>
          <w:sz w:val="24"/>
          <w:szCs w:val="24"/>
          <w:lang w:eastAsia="en-US"/>
        </w:rPr>
      </w:pPr>
    </w:p>
    <w:p w:rsidR="0008038A" w:rsidRPr="007102FE" w:rsidRDefault="0008038A" w:rsidP="00180A0B">
      <w:pPr>
        <w:spacing w:after="0" w:line="240" w:lineRule="auto"/>
        <w:contextualSpacing/>
        <w:jc w:val="both"/>
        <w:rPr>
          <w:rFonts w:ascii="Times New Roman" w:eastAsia="Calibri" w:hAnsi="Times New Roman" w:cs="Times New Roman"/>
          <w:sz w:val="24"/>
          <w:szCs w:val="24"/>
          <w:lang w:eastAsia="en-US"/>
        </w:rPr>
      </w:pPr>
    </w:p>
    <w:p w:rsidR="007102FE" w:rsidRPr="0008038A" w:rsidRDefault="007102FE" w:rsidP="007102FE">
      <w:pPr>
        <w:numPr>
          <w:ilvl w:val="0"/>
          <w:numId w:val="3"/>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 xml:space="preserve">Indicate the main challenges for optimizing the interplay of education and research within the discipline and the measures taken to meet these challenges. </w:t>
      </w:r>
    </w:p>
    <w:p w:rsidR="00180A0B" w:rsidRDefault="00180A0B" w:rsidP="00236FDB">
      <w:pPr>
        <w:spacing w:after="0" w:line="240" w:lineRule="auto"/>
        <w:rPr>
          <w:rFonts w:ascii="Times New Roman" w:eastAsia="Calibri" w:hAnsi="Times New Roman" w:cs="Times New Roman"/>
          <w:sz w:val="24"/>
          <w:szCs w:val="24"/>
          <w:lang w:val="en-GB" w:eastAsia="en-US"/>
        </w:rPr>
      </w:pPr>
    </w:p>
    <w:p w:rsidR="00236FDB" w:rsidRPr="00236FDB" w:rsidRDefault="009B5C46" w:rsidP="009B5C46">
      <w:pPr>
        <w:spacing w:after="0" w:line="240" w:lineRule="auto"/>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Until recently, a challenge for </w:t>
      </w:r>
      <w:r w:rsidRPr="009B5C46">
        <w:rPr>
          <w:rFonts w:ascii="Times New Roman" w:eastAsia="Calibri" w:hAnsi="Times New Roman" w:cs="Times New Roman"/>
          <w:sz w:val="24"/>
          <w:szCs w:val="24"/>
          <w:lang w:val="en-GB" w:eastAsia="en-US"/>
        </w:rPr>
        <w:t>optimizing the interplay of education and research within</w:t>
      </w:r>
      <w:r>
        <w:rPr>
          <w:rFonts w:ascii="Times New Roman" w:eastAsia="Calibri" w:hAnsi="Times New Roman" w:cs="Times New Roman"/>
          <w:sz w:val="24"/>
          <w:szCs w:val="24"/>
          <w:lang w:val="en-GB" w:eastAsia="en-US"/>
        </w:rPr>
        <w:t xml:space="preserve"> TIK’s Master programs was represented by the fact that the Centre’s Master students did not have to attend courses in research methodology. The lack of strong methodological foundations hampered the possibility to integrate the students in the Centre’s research projects, and later employ them as PhD students. However, this challenge has seriously been faced and overcome in recent years. TIK’s Master students are now offered a systematic introduction to research methods. They first have to attend a general introduction to research methods during the first semester, and then a more specialized course (in either qualitative or quantitative methods) during the second semester.</w:t>
      </w:r>
    </w:p>
    <w:p w:rsidR="00CF7207" w:rsidRDefault="00CF7207" w:rsidP="00180A0B">
      <w:pPr>
        <w:spacing w:after="0" w:line="240" w:lineRule="auto"/>
        <w:contextualSpacing/>
        <w:jc w:val="both"/>
        <w:rPr>
          <w:rFonts w:ascii="Times New Roman" w:eastAsia="Calibri" w:hAnsi="Times New Roman" w:cs="Times New Roman"/>
          <w:sz w:val="24"/>
          <w:szCs w:val="24"/>
          <w:lang w:val="en-GB" w:eastAsia="en-US"/>
        </w:rPr>
      </w:pPr>
    </w:p>
    <w:p w:rsidR="00515627" w:rsidRDefault="00515627" w:rsidP="00180A0B">
      <w:pPr>
        <w:spacing w:after="0" w:line="240" w:lineRule="auto"/>
        <w:contextualSpacing/>
        <w:jc w:val="both"/>
        <w:rPr>
          <w:rFonts w:ascii="Times New Roman" w:eastAsia="Calibri" w:hAnsi="Times New Roman" w:cs="Times New Roman"/>
          <w:sz w:val="24"/>
          <w:szCs w:val="24"/>
          <w:lang w:val="en-GB" w:eastAsia="en-US"/>
        </w:rPr>
      </w:pPr>
    </w:p>
    <w:p w:rsidR="00CF7207" w:rsidRDefault="00CF7207" w:rsidP="00180A0B">
      <w:pPr>
        <w:spacing w:after="0" w:line="240" w:lineRule="auto"/>
        <w:contextualSpacing/>
        <w:jc w:val="both"/>
        <w:rPr>
          <w:rFonts w:ascii="Times New Roman" w:eastAsia="Calibri" w:hAnsi="Times New Roman" w:cs="Times New Roman"/>
          <w:sz w:val="24"/>
          <w:szCs w:val="24"/>
          <w:lang w:val="en-GB" w:eastAsia="en-US"/>
        </w:rPr>
      </w:pPr>
    </w:p>
    <w:p w:rsidR="007102FE" w:rsidRPr="00180A0B" w:rsidRDefault="007102FE"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color w:val="FF0000"/>
          <w:sz w:val="28"/>
          <w:szCs w:val="28"/>
          <w:lang w:val="en-GB" w:eastAsia="en-US"/>
        </w:rPr>
      </w:pPr>
      <w:r w:rsidRPr="007102FE">
        <w:rPr>
          <w:rFonts w:ascii="Times New Roman" w:eastAsia="SimSun" w:hAnsi="Times New Roman" w:cs="Times New Roman"/>
          <w:b/>
          <w:bCs/>
          <w:sz w:val="28"/>
          <w:szCs w:val="28"/>
          <w:lang w:val="en-GB" w:eastAsia="en-US"/>
        </w:rPr>
        <w:t xml:space="preserve">Societal relevance </w:t>
      </w:r>
    </w:p>
    <w:p w:rsidR="00180A0B" w:rsidRPr="007102FE" w:rsidRDefault="00180A0B" w:rsidP="007102FE">
      <w:pPr>
        <w:keepNext/>
        <w:keepLines/>
        <w:numPr>
          <w:ilvl w:val="1"/>
          <w:numId w:val="0"/>
        </w:numPr>
        <w:tabs>
          <w:tab w:val="num" w:pos="360"/>
        </w:tabs>
        <w:spacing w:after="0" w:line="240" w:lineRule="auto"/>
        <w:ind w:left="360" w:hanging="360"/>
        <w:jc w:val="both"/>
        <w:outlineLvl w:val="1"/>
        <w:rPr>
          <w:rFonts w:ascii="Times New Roman" w:eastAsia="SimSun" w:hAnsi="Times New Roman" w:cs="Times New Roman"/>
          <w:b/>
          <w:bCs/>
          <w:sz w:val="24"/>
          <w:szCs w:val="24"/>
          <w:lang w:val="en-GB" w:eastAsia="en-US"/>
        </w:rPr>
      </w:pPr>
    </w:p>
    <w:p w:rsidR="007102FE" w:rsidRPr="0008038A" w:rsidRDefault="007102FE" w:rsidP="007102FE">
      <w:pPr>
        <w:numPr>
          <w:ilvl w:val="0"/>
          <w:numId w:val="7"/>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 xml:space="preserve">Please indicate the relevance of the research within the discipline for the thematic priorities set out in Norwegian Government’s </w:t>
      </w:r>
      <w:hyperlink r:id="rId20" w:history="1">
        <w:r w:rsidRPr="0008038A">
          <w:rPr>
            <w:rFonts w:ascii="Times New Roman" w:eastAsia="Calibri" w:hAnsi="Times New Roman" w:cs="Times New Roman"/>
            <w:b/>
            <w:color w:val="0000FF"/>
            <w:sz w:val="24"/>
            <w:szCs w:val="24"/>
            <w:u w:val="single"/>
            <w:lang w:val="en-GB" w:eastAsia="en-US"/>
          </w:rPr>
          <w:t>Long-Term Plan for Research and Higher Education</w:t>
        </w:r>
      </w:hyperlink>
      <w:r w:rsidRPr="0008038A">
        <w:rPr>
          <w:rFonts w:ascii="Times New Roman" w:eastAsia="Calibri" w:hAnsi="Times New Roman" w:cs="Times New Roman"/>
          <w:b/>
          <w:color w:val="0000FF"/>
          <w:sz w:val="24"/>
          <w:szCs w:val="24"/>
          <w:u w:val="single"/>
          <w:lang w:val="en-GB" w:eastAsia="en-US"/>
        </w:rPr>
        <w:t xml:space="preserve"> </w:t>
      </w:r>
      <w:r w:rsidRPr="0008038A">
        <w:rPr>
          <w:rFonts w:ascii="Times New Roman" w:eastAsia="Calibri" w:hAnsi="Times New Roman" w:cs="Times New Roman"/>
          <w:b/>
          <w:sz w:val="24"/>
          <w:szCs w:val="24"/>
          <w:lang w:val="en-GB" w:eastAsia="en-US"/>
        </w:rPr>
        <w:t>or list other relevant policy documents in Form 3.</w:t>
      </w:r>
    </w:p>
    <w:p w:rsidR="00180A0B" w:rsidRDefault="00180A0B" w:rsidP="0008038A">
      <w:pPr>
        <w:spacing w:after="0" w:line="240" w:lineRule="auto"/>
        <w:contextualSpacing/>
        <w:jc w:val="both"/>
        <w:rPr>
          <w:rFonts w:ascii="Times New Roman" w:eastAsia="Calibri" w:hAnsi="Times New Roman" w:cs="Times New Roman"/>
          <w:sz w:val="24"/>
          <w:szCs w:val="24"/>
          <w:lang w:val="en-GB" w:eastAsia="en-US"/>
        </w:rPr>
      </w:pPr>
    </w:p>
    <w:p w:rsidR="00901DC1" w:rsidRDefault="000A0345" w:rsidP="0008038A">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As noted above, TIK’s research in innovation studies relies to a large extent on externally funded research projects. Most of the external projects are funded by Norwegian agencies such as the Research Council of Norway and the Ministry of Education and Research. A natural consequence of this is that TIK’s research projects in innovation studies are designed and developed in close collaboration with these agencies and related academic and user partners</w:t>
      </w:r>
      <w:r w:rsidR="00CC1985">
        <w:rPr>
          <w:rFonts w:ascii="Times New Roman" w:eastAsia="Calibri" w:hAnsi="Times New Roman" w:cs="Times New Roman"/>
          <w:sz w:val="24"/>
          <w:szCs w:val="24"/>
          <w:lang w:val="en-GB" w:eastAsia="en-US"/>
        </w:rPr>
        <w:t>, thus ensuring their societal relevance</w:t>
      </w:r>
      <w:r>
        <w:rPr>
          <w:rFonts w:ascii="Times New Roman" w:eastAsia="Calibri" w:hAnsi="Times New Roman" w:cs="Times New Roman"/>
          <w:sz w:val="24"/>
          <w:szCs w:val="24"/>
          <w:lang w:val="en-GB" w:eastAsia="en-US"/>
        </w:rPr>
        <w:t>.</w:t>
      </w:r>
    </w:p>
    <w:p w:rsidR="000A0345" w:rsidRDefault="000A0345" w:rsidP="0008038A">
      <w:pPr>
        <w:spacing w:after="0" w:line="240" w:lineRule="auto"/>
        <w:contextualSpacing/>
        <w:jc w:val="both"/>
        <w:rPr>
          <w:rFonts w:ascii="Times New Roman" w:eastAsia="Calibri" w:hAnsi="Times New Roman" w:cs="Times New Roman"/>
          <w:sz w:val="24"/>
          <w:szCs w:val="24"/>
          <w:lang w:val="en-GB" w:eastAsia="en-US"/>
        </w:rPr>
      </w:pPr>
    </w:p>
    <w:p w:rsidR="00553B7E" w:rsidRPr="000A0345" w:rsidRDefault="00823E79" w:rsidP="00823E79">
      <w:pPr>
        <w:spacing w:after="0" w:line="240" w:lineRule="auto"/>
        <w:contextualSpacing/>
        <w:jc w:val="both"/>
        <w:rPr>
          <w:rFonts w:ascii="Times New Roman" w:eastAsia="Calibri" w:hAnsi="Times New Roman" w:cs="Times New Roman"/>
          <w:sz w:val="24"/>
          <w:szCs w:val="24"/>
          <w:lang w:val="en-GB" w:eastAsia="en-US"/>
        </w:rPr>
      </w:pPr>
      <w:r w:rsidRPr="000A0345">
        <w:rPr>
          <w:rFonts w:ascii="Times New Roman" w:eastAsia="Calibri" w:hAnsi="Times New Roman" w:cs="Times New Roman"/>
          <w:sz w:val="24"/>
          <w:szCs w:val="24"/>
          <w:lang w:val="en-GB" w:eastAsia="en-US"/>
        </w:rPr>
        <w:t xml:space="preserve">Specifically, </w:t>
      </w:r>
      <w:r w:rsidR="000A0345">
        <w:rPr>
          <w:rFonts w:ascii="Times New Roman" w:eastAsia="Calibri" w:hAnsi="Times New Roman" w:cs="Times New Roman"/>
          <w:sz w:val="24"/>
          <w:szCs w:val="24"/>
          <w:lang w:val="en-GB" w:eastAsia="en-US"/>
        </w:rPr>
        <w:t xml:space="preserve">all </w:t>
      </w:r>
      <w:r w:rsidRPr="000A0345">
        <w:rPr>
          <w:rFonts w:ascii="Times New Roman" w:eastAsia="Calibri" w:hAnsi="Times New Roman" w:cs="Times New Roman"/>
          <w:sz w:val="24"/>
          <w:szCs w:val="24"/>
          <w:lang w:val="en-GB" w:eastAsia="en-US"/>
        </w:rPr>
        <w:t xml:space="preserve">three main thematic areas </w:t>
      </w:r>
      <w:r w:rsidR="000A0345">
        <w:rPr>
          <w:rFonts w:ascii="Times New Roman" w:eastAsia="Calibri" w:hAnsi="Times New Roman" w:cs="Times New Roman"/>
          <w:sz w:val="24"/>
          <w:szCs w:val="24"/>
          <w:lang w:val="en-GB" w:eastAsia="en-US"/>
        </w:rPr>
        <w:t>that are prioritized at TIK within innovation studies have a number of ongoing externally funded projects that explicitly address some of the priority areas of the “long-term plan for research and higher education”</w:t>
      </w:r>
      <w:r w:rsidRPr="000A0345">
        <w:rPr>
          <w:rFonts w:ascii="Times New Roman" w:eastAsia="Calibri" w:hAnsi="Times New Roman" w:cs="Times New Roman"/>
          <w:sz w:val="24"/>
          <w:szCs w:val="24"/>
          <w:lang w:val="en-GB" w:eastAsia="en-US"/>
        </w:rPr>
        <w:t xml:space="preserve">. </w:t>
      </w:r>
      <w:r w:rsidR="000A0345">
        <w:rPr>
          <w:rFonts w:ascii="Times New Roman" w:eastAsia="Calibri" w:hAnsi="Times New Roman" w:cs="Times New Roman"/>
          <w:sz w:val="24"/>
          <w:szCs w:val="24"/>
          <w:lang w:val="en-GB" w:eastAsia="en-US"/>
        </w:rPr>
        <w:t>As noted in table 3 below, for instance, TIK has two large ongoing projects / centres related to the priority area “</w:t>
      </w:r>
      <w:r w:rsidR="000A0345" w:rsidRPr="000A0345">
        <w:rPr>
          <w:rFonts w:ascii="Times New Roman" w:eastAsia="Calibri" w:hAnsi="Times New Roman" w:cs="Times New Roman"/>
          <w:sz w:val="24"/>
          <w:szCs w:val="24"/>
          <w:lang w:val="en-GB" w:eastAsia="en-US"/>
        </w:rPr>
        <w:t>Public sector renewal, better and more effective welfare</w:t>
      </w:r>
      <w:r w:rsidR="000A0345">
        <w:rPr>
          <w:rFonts w:ascii="Times New Roman" w:eastAsia="Calibri" w:hAnsi="Times New Roman" w:cs="Times New Roman"/>
          <w:sz w:val="24"/>
          <w:szCs w:val="24"/>
          <w:lang w:val="en-GB" w:eastAsia="en-US"/>
        </w:rPr>
        <w:t xml:space="preserve">”; two </w:t>
      </w:r>
      <w:r w:rsidR="00CC1985">
        <w:rPr>
          <w:rFonts w:ascii="Times New Roman" w:eastAsia="Calibri" w:hAnsi="Times New Roman" w:cs="Times New Roman"/>
          <w:sz w:val="24"/>
          <w:szCs w:val="24"/>
          <w:lang w:val="en-GB" w:eastAsia="en-US"/>
        </w:rPr>
        <w:t xml:space="preserve">research </w:t>
      </w:r>
      <w:r w:rsidR="000A0345">
        <w:rPr>
          <w:rFonts w:ascii="Times New Roman" w:eastAsia="Calibri" w:hAnsi="Times New Roman" w:cs="Times New Roman"/>
          <w:sz w:val="24"/>
          <w:szCs w:val="24"/>
          <w:lang w:val="en-GB" w:eastAsia="en-US"/>
        </w:rPr>
        <w:t>projects that investigate themes related to “</w:t>
      </w:r>
      <w:r w:rsidR="000A0345" w:rsidRPr="000A0345">
        <w:rPr>
          <w:rFonts w:ascii="Times New Roman" w:eastAsia="Calibri" w:hAnsi="Times New Roman" w:cs="Times New Roman"/>
          <w:sz w:val="24"/>
          <w:szCs w:val="24"/>
          <w:lang w:val="en-GB" w:eastAsia="en-US"/>
        </w:rPr>
        <w:t>Innovative and adaptable industry</w:t>
      </w:r>
      <w:r w:rsidR="000A0345">
        <w:rPr>
          <w:rFonts w:ascii="Times New Roman" w:eastAsia="Calibri" w:hAnsi="Times New Roman" w:cs="Times New Roman"/>
          <w:sz w:val="24"/>
          <w:szCs w:val="24"/>
          <w:lang w:val="en-GB" w:eastAsia="en-US"/>
        </w:rPr>
        <w:t>”, and six ongoing projects / centres</w:t>
      </w:r>
      <w:r w:rsidR="000A0345" w:rsidRPr="000A0345">
        <w:rPr>
          <w:rFonts w:ascii="Times New Roman" w:eastAsia="Calibri" w:hAnsi="Times New Roman" w:cs="Times New Roman"/>
          <w:sz w:val="24"/>
          <w:szCs w:val="24"/>
          <w:lang w:val="en-GB" w:eastAsia="en-US"/>
        </w:rPr>
        <w:t xml:space="preserve"> </w:t>
      </w:r>
      <w:r w:rsidR="000A0345">
        <w:rPr>
          <w:rFonts w:ascii="Times New Roman" w:eastAsia="Calibri" w:hAnsi="Times New Roman" w:cs="Times New Roman"/>
          <w:sz w:val="24"/>
          <w:szCs w:val="24"/>
          <w:lang w:val="en-GB" w:eastAsia="en-US"/>
        </w:rPr>
        <w:t>related to the priority area “</w:t>
      </w:r>
      <w:r w:rsidR="000A0345" w:rsidRPr="000A0345">
        <w:rPr>
          <w:rFonts w:ascii="Times New Roman" w:eastAsia="Calibri" w:hAnsi="Times New Roman" w:cs="Times New Roman"/>
          <w:sz w:val="24"/>
          <w:szCs w:val="24"/>
          <w:lang w:val="en-GB" w:eastAsia="en-US"/>
        </w:rPr>
        <w:t>Climate, environment and clean energy</w:t>
      </w:r>
      <w:r w:rsidR="000A0345">
        <w:rPr>
          <w:rFonts w:ascii="Times New Roman" w:eastAsia="Calibri" w:hAnsi="Times New Roman" w:cs="Times New Roman"/>
          <w:sz w:val="24"/>
          <w:szCs w:val="24"/>
          <w:lang w:val="en-GB" w:eastAsia="en-US"/>
        </w:rPr>
        <w:t>”.</w:t>
      </w:r>
    </w:p>
    <w:p w:rsidR="00553B7E" w:rsidRDefault="00553B7E" w:rsidP="0008038A">
      <w:pPr>
        <w:spacing w:after="0" w:line="240" w:lineRule="auto"/>
        <w:contextualSpacing/>
        <w:jc w:val="both"/>
        <w:rPr>
          <w:rFonts w:ascii="Times New Roman" w:eastAsia="Calibri" w:hAnsi="Times New Roman" w:cs="Times New Roman"/>
          <w:sz w:val="24"/>
          <w:szCs w:val="24"/>
          <w:lang w:val="en-GB" w:eastAsia="en-US"/>
        </w:rPr>
      </w:pPr>
    </w:p>
    <w:p w:rsidR="00553B7E" w:rsidRDefault="00553B7E" w:rsidP="0008038A">
      <w:pPr>
        <w:spacing w:after="0" w:line="240" w:lineRule="auto"/>
        <w:contextualSpacing/>
        <w:jc w:val="both"/>
        <w:rPr>
          <w:rFonts w:ascii="Times New Roman" w:eastAsia="Calibri" w:hAnsi="Times New Roman" w:cs="Times New Roman"/>
          <w:sz w:val="24"/>
          <w:szCs w:val="24"/>
          <w:lang w:val="en-GB" w:eastAsia="en-US"/>
        </w:rPr>
      </w:pPr>
    </w:p>
    <w:p w:rsidR="00A96AAD" w:rsidRPr="00272F5D" w:rsidRDefault="00A96AAD" w:rsidP="00A96AAD">
      <w:pPr>
        <w:spacing w:after="120" w:line="240" w:lineRule="auto"/>
        <w:rPr>
          <w:rFonts w:ascii="Times New Roman" w:eastAsia="SimSun" w:hAnsi="Times New Roman" w:cs="Times New Roman"/>
          <w:b/>
          <w:sz w:val="24"/>
          <w:szCs w:val="24"/>
          <w:lang w:eastAsia="nb-NO"/>
        </w:rPr>
      </w:pPr>
      <w:r w:rsidRPr="00E45DDA">
        <w:rPr>
          <w:rFonts w:ascii="Times New Roman" w:eastAsia="SimSun" w:hAnsi="Times New Roman" w:cs="Times New Roman"/>
          <w:b/>
          <w:sz w:val="24"/>
          <w:szCs w:val="24"/>
          <w:lang w:eastAsia="nb-NO"/>
        </w:rPr>
        <w:t>Table 3: Research projects addressing priority areas of the LTP</w:t>
      </w:r>
    </w:p>
    <w:tbl>
      <w:tblPr>
        <w:tblStyle w:val="TableGrid"/>
        <w:tblW w:w="0" w:type="auto"/>
        <w:tblLook w:val="04A0" w:firstRow="1" w:lastRow="0" w:firstColumn="1" w:lastColumn="0" w:noHBand="0" w:noVBand="1"/>
      </w:tblPr>
      <w:tblGrid>
        <w:gridCol w:w="1526"/>
        <w:gridCol w:w="1559"/>
        <w:gridCol w:w="1843"/>
        <w:gridCol w:w="4282"/>
      </w:tblGrid>
      <w:tr w:rsidR="00A96AAD" w:rsidRPr="006A177C" w:rsidTr="00902DB0">
        <w:tc>
          <w:tcPr>
            <w:tcW w:w="1526" w:type="dxa"/>
            <w:tcBorders>
              <w:top w:val="single" w:sz="24" w:space="0" w:color="auto"/>
              <w:left w:val="single" w:sz="24" w:space="0" w:color="auto"/>
              <w:bottom w:val="single" w:sz="24" w:space="0" w:color="auto"/>
              <w:right w:val="single" w:sz="24" w:space="0" w:color="auto"/>
            </w:tcBorders>
          </w:tcPr>
          <w:p w:rsidR="00A96AAD" w:rsidRPr="006A177C" w:rsidRDefault="00A96AAD" w:rsidP="00902DB0">
            <w:pPr>
              <w:spacing w:after="120" w:line="240" w:lineRule="auto"/>
              <w:rPr>
                <w:rFonts w:ascii="Times New Roman" w:eastAsia="SimSun" w:hAnsi="Times New Roman" w:cs="Times New Roman"/>
                <w:b/>
              </w:rPr>
            </w:pPr>
            <w:r w:rsidRPr="006A177C">
              <w:rPr>
                <w:rFonts w:ascii="Times New Roman" w:eastAsia="SimSun" w:hAnsi="Times New Roman" w:cs="Times New Roman"/>
                <w:b/>
              </w:rPr>
              <w:t>Institution</w:t>
            </w:r>
          </w:p>
        </w:tc>
        <w:tc>
          <w:tcPr>
            <w:tcW w:w="1559" w:type="dxa"/>
            <w:tcBorders>
              <w:top w:val="single" w:sz="24" w:space="0" w:color="auto"/>
              <w:left w:val="single" w:sz="24" w:space="0" w:color="auto"/>
              <w:bottom w:val="single" w:sz="24" w:space="0" w:color="auto"/>
              <w:right w:val="single" w:sz="24" w:space="0" w:color="auto"/>
            </w:tcBorders>
          </w:tcPr>
          <w:p w:rsidR="00A96AAD" w:rsidRPr="006A177C" w:rsidRDefault="00A96AAD" w:rsidP="00902DB0">
            <w:pPr>
              <w:spacing w:after="120" w:line="240" w:lineRule="auto"/>
              <w:rPr>
                <w:rFonts w:ascii="Times New Roman" w:eastAsia="SimSun" w:hAnsi="Times New Roman" w:cs="Times New Roman"/>
                <w:b/>
              </w:rPr>
            </w:pPr>
            <w:r w:rsidRPr="006A177C">
              <w:rPr>
                <w:rFonts w:ascii="Times New Roman" w:eastAsia="SimSun" w:hAnsi="Times New Roman" w:cs="Times New Roman"/>
                <w:b/>
              </w:rPr>
              <w:t>Panel</w:t>
            </w:r>
          </w:p>
        </w:tc>
        <w:tc>
          <w:tcPr>
            <w:tcW w:w="1843" w:type="dxa"/>
            <w:tcBorders>
              <w:top w:val="single" w:sz="24" w:space="0" w:color="auto"/>
              <w:left w:val="single" w:sz="24" w:space="0" w:color="auto"/>
              <w:bottom w:val="single" w:sz="24" w:space="0" w:color="auto"/>
              <w:right w:val="single" w:sz="24" w:space="0" w:color="auto"/>
            </w:tcBorders>
          </w:tcPr>
          <w:p w:rsidR="00A96AAD" w:rsidRPr="006A177C" w:rsidRDefault="00A96AAD" w:rsidP="00902DB0">
            <w:pPr>
              <w:spacing w:after="120" w:line="240" w:lineRule="auto"/>
              <w:rPr>
                <w:rFonts w:ascii="Times New Roman" w:eastAsia="SimSun" w:hAnsi="Times New Roman" w:cs="Times New Roman"/>
                <w:b/>
                <w:lang w:val="en-US"/>
              </w:rPr>
            </w:pPr>
            <w:r w:rsidRPr="006A177C">
              <w:rPr>
                <w:rFonts w:ascii="Times New Roman" w:eastAsia="SimSun" w:hAnsi="Times New Roman" w:cs="Times New Roman"/>
                <w:b/>
                <w:lang w:val="en-US"/>
              </w:rPr>
              <w:t>Priority area of the Long-term plan for research and higher education</w:t>
            </w:r>
          </w:p>
        </w:tc>
        <w:tc>
          <w:tcPr>
            <w:tcW w:w="4282" w:type="dxa"/>
            <w:tcBorders>
              <w:top w:val="single" w:sz="24" w:space="0" w:color="auto"/>
              <w:left w:val="single" w:sz="24" w:space="0" w:color="auto"/>
              <w:bottom w:val="single" w:sz="24" w:space="0" w:color="auto"/>
              <w:right w:val="single" w:sz="24" w:space="0" w:color="auto"/>
            </w:tcBorders>
          </w:tcPr>
          <w:p w:rsidR="00A96AAD" w:rsidRPr="006A177C" w:rsidRDefault="00A96AAD" w:rsidP="00902DB0">
            <w:pPr>
              <w:spacing w:after="120" w:line="240" w:lineRule="auto"/>
              <w:rPr>
                <w:rFonts w:ascii="Times New Roman" w:eastAsia="SimSun" w:hAnsi="Times New Roman" w:cs="Times New Roman"/>
                <w:b/>
                <w:lang w:val="en-US"/>
              </w:rPr>
            </w:pPr>
            <w:r w:rsidRPr="006A177C">
              <w:rPr>
                <w:rFonts w:ascii="Times New Roman" w:eastAsia="SimSun" w:hAnsi="Times New Roman" w:cs="Times New Roman"/>
                <w:b/>
                <w:lang w:val="en-US"/>
              </w:rPr>
              <w:t>Research project (please include title of project, size in terms of researchers and budget, time frame)</w:t>
            </w:r>
          </w:p>
        </w:tc>
      </w:tr>
      <w:tr w:rsidR="00A96AAD" w:rsidRPr="006A177C" w:rsidTr="00902DB0">
        <w:tc>
          <w:tcPr>
            <w:tcW w:w="1526" w:type="dxa"/>
            <w:tcBorders>
              <w:top w:val="single" w:sz="24" w:space="0" w:color="auto"/>
            </w:tcBorders>
          </w:tcPr>
          <w:p w:rsidR="00A96A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Borders>
              <w:top w:val="single" w:sz="24" w:space="0" w:color="auto"/>
            </w:tcBorders>
          </w:tcPr>
          <w:p w:rsidR="00A96A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Borders>
              <w:top w:val="single" w:sz="24" w:space="0" w:color="auto"/>
            </w:tcBorders>
          </w:tcPr>
          <w:p w:rsidR="00A96AAD" w:rsidRPr="006A177C" w:rsidRDefault="006A177C" w:rsidP="00902DB0">
            <w:pPr>
              <w:spacing w:after="120" w:line="240" w:lineRule="auto"/>
              <w:rPr>
                <w:rFonts w:ascii="Times New Roman" w:eastAsia="SimSun" w:hAnsi="Times New Roman" w:cs="Times New Roman"/>
                <w:lang w:val="en-US"/>
              </w:rPr>
            </w:pPr>
            <w:r w:rsidRPr="006A177C">
              <w:rPr>
                <w:rFonts w:ascii="Times New Roman" w:eastAsia="SimSun" w:hAnsi="Times New Roman" w:cs="Times New Roman"/>
                <w:lang w:val="en-US"/>
              </w:rPr>
              <w:t>Public sector renewal, better and more effective welfare</w:t>
            </w:r>
          </w:p>
        </w:tc>
        <w:tc>
          <w:tcPr>
            <w:tcW w:w="4282" w:type="dxa"/>
            <w:tcBorders>
              <w:top w:val="single" w:sz="24" w:space="0" w:color="auto"/>
            </w:tcBorders>
          </w:tcPr>
          <w:p w:rsidR="00A96A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006A177C" w:rsidRPr="006A177C">
              <w:rPr>
                <w:rFonts w:ascii="Times New Roman" w:eastAsia="SimSun" w:hAnsi="Times New Roman" w:cs="Times New Roman"/>
                <w:lang w:val="en-US"/>
              </w:rPr>
              <w:t>Oslo Institute for Research on the Impact of Science</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6A177C">
              <w:rPr>
                <w:rFonts w:ascii="Times New Roman" w:eastAsia="SimSun" w:hAnsi="Times New Roman" w:cs="Times New Roman"/>
                <w:lang w:val="en-US"/>
              </w:rPr>
              <w:t>Public sector renewal, better and more effective welfare</w:t>
            </w:r>
          </w:p>
        </w:tc>
        <w:tc>
          <w:tcPr>
            <w:tcW w:w="4282"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6A177C">
              <w:rPr>
                <w:rFonts w:ascii="Times New Roman" w:eastAsia="SimSun" w:hAnsi="Times New Roman" w:cs="Times New Roman"/>
                <w:lang w:val="en-US"/>
              </w:rPr>
              <w:t>Responsible Innovation and Happiness: A New Approach to the Effects of ICTs</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6A177C">
              <w:rPr>
                <w:rFonts w:ascii="Times New Roman" w:eastAsia="SimSun" w:hAnsi="Times New Roman" w:cs="Times New Roman"/>
                <w:lang w:val="en-US"/>
              </w:rPr>
              <w:t>Innovative and adaptable industry</w:t>
            </w:r>
          </w:p>
        </w:tc>
        <w:tc>
          <w:tcPr>
            <w:tcW w:w="4282"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6A177C">
              <w:rPr>
                <w:rFonts w:ascii="Times New Roman" w:eastAsia="SimSun" w:hAnsi="Times New Roman" w:cs="Times New Roman"/>
                <w:lang w:val="en-US"/>
              </w:rPr>
              <w:t>Investigating the Impact of the Innovation Union</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6A177C">
              <w:rPr>
                <w:rFonts w:ascii="Times New Roman" w:eastAsia="SimSun" w:hAnsi="Times New Roman" w:cs="Times New Roman"/>
                <w:lang w:val="en-US"/>
              </w:rPr>
              <w:t>Innovative and adaptable industry</w:t>
            </w:r>
          </w:p>
        </w:tc>
        <w:tc>
          <w:tcPr>
            <w:tcW w:w="4282" w:type="dxa"/>
          </w:tcPr>
          <w:p w:rsidR="00AE44AD" w:rsidRPr="006A177C" w:rsidRDefault="00AE44AD" w:rsidP="00902DB0">
            <w:pPr>
              <w:spacing w:after="120" w:line="240" w:lineRule="auto"/>
              <w:rPr>
                <w:rFonts w:ascii="Times New Roman" w:eastAsia="SimSun" w:hAnsi="Times New Roman" w:cs="Times New Roman"/>
                <w:lang w:val="en-GB"/>
              </w:rPr>
            </w:pPr>
            <w:r>
              <w:rPr>
                <w:rFonts w:ascii="Times New Roman" w:eastAsia="SimSun" w:hAnsi="Times New Roman" w:cs="Times New Roman"/>
                <w:lang w:val="en-GB"/>
              </w:rPr>
              <w:t>“</w:t>
            </w:r>
            <w:r w:rsidRPr="006A177C">
              <w:rPr>
                <w:rFonts w:ascii="Times New Roman" w:eastAsia="SimSun" w:hAnsi="Times New Roman" w:cs="Times New Roman"/>
                <w:lang w:val="en-GB"/>
              </w:rPr>
              <w:t>Innovation dynamics within a multinational company: A survey-based study of Telenor</w:t>
            </w:r>
            <w:r>
              <w:rPr>
                <w:rFonts w:ascii="Times New Roman" w:eastAsia="SimSun" w:hAnsi="Times New Roman" w:cs="Times New Roman"/>
                <w:lang w:val="en-GB"/>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Climate, environment and clean energy</w:t>
            </w:r>
          </w:p>
        </w:tc>
        <w:tc>
          <w:tcPr>
            <w:tcW w:w="4282"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AE44AD">
              <w:rPr>
                <w:rFonts w:ascii="Times New Roman" w:eastAsia="SimSun" w:hAnsi="Times New Roman" w:cs="Times New Roman"/>
                <w:lang w:val="en-US"/>
              </w:rPr>
              <w:t>Centre for Sustainable Energy Studies</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AE44AD"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AE44AD"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Climate, environment and clean energy</w:t>
            </w:r>
          </w:p>
        </w:tc>
        <w:tc>
          <w:tcPr>
            <w:tcW w:w="4282" w:type="dxa"/>
          </w:tcPr>
          <w:p w:rsidR="00AE44AD" w:rsidRPr="00AE44AD"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AE44AD">
              <w:rPr>
                <w:rFonts w:ascii="Times New Roman" w:eastAsia="SimSun" w:hAnsi="Times New Roman" w:cs="Times New Roman"/>
                <w:lang w:val="en-US"/>
              </w:rPr>
              <w:t>Europeanization of Energy-Technological Innovation Systems</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Climate, environment and clean energy</w:t>
            </w:r>
          </w:p>
        </w:tc>
        <w:tc>
          <w:tcPr>
            <w:tcW w:w="4282"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AE44AD">
              <w:rPr>
                <w:rFonts w:ascii="Times New Roman" w:eastAsia="SimSun" w:hAnsi="Times New Roman" w:cs="Times New Roman"/>
                <w:lang w:val="en-US"/>
              </w:rPr>
              <w:t>Integration of Power Transmission Grids</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Climate, environment and clean energy</w:t>
            </w:r>
          </w:p>
        </w:tc>
        <w:tc>
          <w:tcPr>
            <w:tcW w:w="4282"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AE44AD">
              <w:rPr>
                <w:rFonts w:ascii="Times New Roman" w:eastAsia="SimSun" w:hAnsi="Times New Roman" w:cs="Times New Roman"/>
                <w:lang w:val="en-US"/>
              </w:rPr>
              <w:t>Research Centre for Sustainable Solar Cell Technology</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Climate, environment and clean energy</w:t>
            </w:r>
          </w:p>
        </w:tc>
        <w:tc>
          <w:tcPr>
            <w:tcW w:w="4282"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AE44AD">
              <w:rPr>
                <w:rFonts w:ascii="Times New Roman" w:eastAsia="SimSun" w:hAnsi="Times New Roman" w:cs="Times New Roman"/>
                <w:lang w:val="en-US"/>
              </w:rPr>
              <w:t>Conditions for growth in renewable energy industries</w:t>
            </w:r>
            <w:r>
              <w:rPr>
                <w:rFonts w:ascii="Times New Roman" w:eastAsia="SimSun" w:hAnsi="Times New Roman" w:cs="Times New Roman"/>
                <w:lang w:val="en-US"/>
              </w:rPr>
              <w:t>”.</w:t>
            </w:r>
          </w:p>
        </w:tc>
      </w:tr>
      <w:tr w:rsidR="00AE44AD" w:rsidRPr="006A177C" w:rsidTr="00902DB0">
        <w:tc>
          <w:tcPr>
            <w:tcW w:w="1526"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TIK Centre, UiO</w:t>
            </w:r>
          </w:p>
        </w:tc>
        <w:tc>
          <w:tcPr>
            <w:tcW w:w="1559"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Economic-administrative research</w:t>
            </w:r>
          </w:p>
        </w:tc>
        <w:tc>
          <w:tcPr>
            <w:tcW w:w="1843" w:type="dxa"/>
          </w:tcPr>
          <w:p w:rsidR="00AE44AD" w:rsidRPr="006A177C" w:rsidRDefault="00AE44AD" w:rsidP="00902DB0">
            <w:pPr>
              <w:spacing w:after="120" w:line="240" w:lineRule="auto"/>
              <w:rPr>
                <w:rFonts w:ascii="Times New Roman" w:eastAsia="SimSun" w:hAnsi="Times New Roman" w:cs="Times New Roman"/>
                <w:lang w:val="en-US"/>
              </w:rPr>
            </w:pPr>
            <w:r w:rsidRPr="00AE44AD">
              <w:rPr>
                <w:rFonts w:ascii="Times New Roman" w:eastAsia="SimSun" w:hAnsi="Times New Roman" w:cs="Times New Roman"/>
                <w:lang w:val="en-US"/>
              </w:rPr>
              <w:t>Climate, environment and clean energy</w:t>
            </w:r>
          </w:p>
        </w:tc>
        <w:tc>
          <w:tcPr>
            <w:tcW w:w="4282" w:type="dxa"/>
          </w:tcPr>
          <w:p w:rsidR="00AE44AD" w:rsidRPr="006A177C" w:rsidRDefault="00AE44AD" w:rsidP="00902DB0">
            <w:pPr>
              <w:spacing w:after="120" w:line="240" w:lineRule="auto"/>
              <w:rPr>
                <w:rFonts w:ascii="Times New Roman" w:eastAsia="SimSun" w:hAnsi="Times New Roman" w:cs="Times New Roman"/>
                <w:lang w:val="en-US"/>
              </w:rPr>
            </w:pPr>
            <w:r>
              <w:rPr>
                <w:rFonts w:ascii="Times New Roman" w:eastAsia="SimSun" w:hAnsi="Times New Roman" w:cs="Times New Roman"/>
                <w:lang w:val="en-US"/>
              </w:rPr>
              <w:t>“</w:t>
            </w:r>
            <w:r w:rsidRPr="00AE44AD">
              <w:rPr>
                <w:rFonts w:ascii="Times New Roman" w:eastAsia="SimSun" w:hAnsi="Times New Roman" w:cs="Times New Roman"/>
                <w:lang w:val="en-US"/>
              </w:rPr>
              <w:t>Greening the Fleet - Sustainability Transitions in the Maritime Shipping Sector</w:t>
            </w:r>
            <w:r>
              <w:rPr>
                <w:rFonts w:ascii="Times New Roman" w:eastAsia="SimSun" w:hAnsi="Times New Roman" w:cs="Times New Roman"/>
                <w:lang w:val="en-US"/>
              </w:rPr>
              <w:t>”.</w:t>
            </w:r>
          </w:p>
        </w:tc>
      </w:tr>
    </w:tbl>
    <w:p w:rsidR="0008038A" w:rsidRPr="00A96AAD" w:rsidRDefault="0008038A" w:rsidP="0008038A">
      <w:pPr>
        <w:spacing w:after="0" w:line="240" w:lineRule="auto"/>
        <w:contextualSpacing/>
        <w:jc w:val="both"/>
        <w:rPr>
          <w:rFonts w:ascii="Times New Roman" w:eastAsia="Calibri" w:hAnsi="Times New Roman" w:cs="Times New Roman"/>
          <w:sz w:val="24"/>
          <w:szCs w:val="24"/>
          <w:lang w:eastAsia="en-US"/>
        </w:rPr>
      </w:pPr>
    </w:p>
    <w:p w:rsidR="0008038A" w:rsidRPr="007102FE" w:rsidRDefault="0008038A" w:rsidP="0008038A">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7"/>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Describe strategies for dissemination, user-involvement and knowledge exchange, identifying any particular obstacles to achieving these aims within the discipline.</w:t>
      </w:r>
    </w:p>
    <w:p w:rsidR="00180A0B" w:rsidRDefault="00180A0B" w:rsidP="00180A0B">
      <w:pPr>
        <w:spacing w:after="0" w:line="240" w:lineRule="auto"/>
        <w:contextualSpacing/>
        <w:jc w:val="both"/>
        <w:rPr>
          <w:rFonts w:ascii="Times New Roman" w:eastAsia="Calibri" w:hAnsi="Times New Roman" w:cs="Times New Roman"/>
          <w:sz w:val="24"/>
          <w:szCs w:val="24"/>
          <w:lang w:val="en-GB" w:eastAsia="en-US"/>
        </w:rPr>
      </w:pPr>
    </w:p>
    <w:p w:rsidR="00E45DDA" w:rsidRDefault="00E45DDA" w:rsidP="000A0345">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Since much of TIK’s research in innovation studies is project-based and externally funded, it is natural for it to have a strong component of dissemination and user-involvement. In fact, most funding programmes to which TIK participates (such as those of the Research Council of Norway, or the EU Horizon 2020 program) requires applicants to make specific and feasible plans of dissemination and of involvement of other academic partners, stakeholders, policy makers and/or industry users. As such, all research projects at TIK, such as those noted in the table above, have specific dissemination and user involvement plans, which are regularly monitored and followed up by the funding agencies that manage these projects.</w:t>
      </w:r>
    </w:p>
    <w:p w:rsidR="00E45DDA" w:rsidRDefault="00E45DDA" w:rsidP="000A0345">
      <w:pPr>
        <w:spacing w:after="0" w:line="240" w:lineRule="auto"/>
        <w:contextualSpacing/>
        <w:jc w:val="both"/>
        <w:rPr>
          <w:rFonts w:ascii="Times New Roman" w:eastAsia="Calibri" w:hAnsi="Times New Roman" w:cs="Times New Roman"/>
          <w:sz w:val="24"/>
          <w:szCs w:val="24"/>
          <w:lang w:val="en-GB" w:eastAsia="en-US"/>
        </w:rPr>
      </w:pPr>
    </w:p>
    <w:p w:rsidR="000A0345" w:rsidRDefault="00E45DDA" w:rsidP="000A0345">
      <w:pPr>
        <w:spacing w:after="0" w:line="24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For these reasons, TIK’s innovation studies group</w:t>
      </w:r>
      <w:r w:rsidR="000A0345" w:rsidRPr="00553B7E">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 xml:space="preserve">has </w:t>
      </w:r>
      <w:r w:rsidR="000A0345" w:rsidRPr="00553B7E">
        <w:rPr>
          <w:rFonts w:ascii="Times New Roman" w:eastAsia="Calibri" w:hAnsi="Times New Roman" w:cs="Times New Roman"/>
          <w:sz w:val="24"/>
          <w:szCs w:val="24"/>
          <w:lang w:val="en-GB" w:eastAsia="en-US"/>
        </w:rPr>
        <w:t>a strong external collaboration profile with non-academic partners. Group members make a large number of public/non-academic presentations every year and publish occasional popular science articles. There is formal project collaboration with policymakers in the Research Council of Norway and various ministries and with private firms. Despite its small size TIK’s innovation group has been one of few units at the Faculty with formalised co-operation with industry</w:t>
      </w:r>
      <w:r>
        <w:rPr>
          <w:rFonts w:ascii="Times New Roman" w:eastAsia="Calibri" w:hAnsi="Times New Roman" w:cs="Times New Roman"/>
          <w:sz w:val="24"/>
          <w:szCs w:val="24"/>
          <w:lang w:val="en-GB" w:eastAsia="en-US"/>
        </w:rPr>
        <w:t xml:space="preserve"> (e.g. the Telenor-TIK project collaborations ongoing since 2013)</w:t>
      </w:r>
      <w:r w:rsidR="000A0345" w:rsidRPr="00553B7E">
        <w:rPr>
          <w:rFonts w:ascii="Times New Roman" w:eastAsia="Calibri" w:hAnsi="Times New Roman" w:cs="Times New Roman"/>
          <w:sz w:val="24"/>
          <w:szCs w:val="24"/>
          <w:lang w:val="en-GB" w:eastAsia="en-US"/>
        </w:rPr>
        <w:t xml:space="preserve">. </w:t>
      </w:r>
      <w:r w:rsidRPr="00E45DDA">
        <w:rPr>
          <w:rFonts w:ascii="Times New Roman" w:eastAsia="Calibri" w:hAnsi="Times New Roman" w:cs="Times New Roman"/>
          <w:sz w:val="24"/>
          <w:szCs w:val="24"/>
          <w:lang w:val="en-GB" w:eastAsia="en-US"/>
        </w:rPr>
        <w:t xml:space="preserve">Current research and user partners in the public and private sector include </w:t>
      </w:r>
      <w:r>
        <w:rPr>
          <w:rFonts w:ascii="Times New Roman" w:eastAsia="Calibri" w:hAnsi="Times New Roman" w:cs="Times New Roman"/>
          <w:sz w:val="24"/>
          <w:szCs w:val="24"/>
          <w:lang w:val="en-GB" w:eastAsia="en-US"/>
        </w:rPr>
        <w:t>also partners such as</w:t>
      </w:r>
      <w:r w:rsidRPr="00E45DDA">
        <w:rPr>
          <w:rFonts w:ascii="Times New Roman" w:eastAsia="Calibri" w:hAnsi="Times New Roman" w:cs="Times New Roman"/>
          <w:sz w:val="24"/>
          <w:szCs w:val="24"/>
          <w:lang w:val="en-GB" w:eastAsia="en-US"/>
        </w:rPr>
        <w:t xml:space="preserve"> Aker Solution, Petroleum Geo-Services (PGS), the health region South-East, the Norwegian Welfare directorate, </w:t>
      </w:r>
      <w:r>
        <w:rPr>
          <w:rFonts w:ascii="Times New Roman" w:eastAsia="Calibri" w:hAnsi="Times New Roman" w:cs="Times New Roman"/>
          <w:sz w:val="24"/>
          <w:szCs w:val="24"/>
          <w:lang w:val="en-GB" w:eastAsia="en-US"/>
        </w:rPr>
        <w:t xml:space="preserve">and the </w:t>
      </w:r>
      <w:r w:rsidRPr="00E45DDA">
        <w:rPr>
          <w:rFonts w:ascii="Times New Roman" w:eastAsia="Calibri" w:hAnsi="Times New Roman" w:cs="Times New Roman"/>
          <w:sz w:val="24"/>
          <w:szCs w:val="24"/>
          <w:lang w:val="en-GB" w:eastAsia="en-US"/>
        </w:rPr>
        <w:t>Ministry of Science and Education</w:t>
      </w:r>
      <w:r>
        <w:rPr>
          <w:rFonts w:ascii="Times New Roman" w:eastAsia="Calibri" w:hAnsi="Times New Roman" w:cs="Times New Roman"/>
          <w:sz w:val="24"/>
          <w:szCs w:val="24"/>
          <w:lang w:val="en-GB" w:eastAsia="en-US"/>
        </w:rPr>
        <w:t xml:space="preserve">. </w:t>
      </w:r>
      <w:r w:rsidR="000A0345" w:rsidRPr="00553B7E">
        <w:rPr>
          <w:rFonts w:ascii="Times New Roman" w:eastAsia="Calibri" w:hAnsi="Times New Roman" w:cs="Times New Roman"/>
          <w:sz w:val="24"/>
          <w:szCs w:val="24"/>
          <w:lang w:val="en-GB" w:eastAsia="en-US"/>
        </w:rPr>
        <w:t xml:space="preserve">The large-scale centre OSIRIS (the Oslo Institute for Research on the Impact of Science) is particularly important in the group’s external collaboration. OSIRIS, funded for eight years as a centre of excellence by </w:t>
      </w:r>
      <w:r w:rsidRPr="00553B7E">
        <w:rPr>
          <w:rFonts w:ascii="Times New Roman" w:eastAsia="Calibri" w:hAnsi="Times New Roman" w:cs="Times New Roman"/>
          <w:sz w:val="24"/>
          <w:szCs w:val="24"/>
          <w:lang w:val="en-GB" w:eastAsia="en-US"/>
        </w:rPr>
        <w:t>the Research Council of Norway</w:t>
      </w:r>
      <w:r w:rsidR="000A0345" w:rsidRPr="00553B7E">
        <w:rPr>
          <w:rFonts w:ascii="Times New Roman" w:eastAsia="Calibri" w:hAnsi="Times New Roman" w:cs="Times New Roman"/>
          <w:sz w:val="24"/>
          <w:szCs w:val="24"/>
          <w:lang w:val="en-GB" w:eastAsia="en-US"/>
        </w:rPr>
        <w:t>, involves significant collaboration with policy actors in Norway and other countries.</w:t>
      </w:r>
    </w:p>
    <w:p w:rsidR="000A0345" w:rsidRDefault="000A0345" w:rsidP="00180A0B">
      <w:pPr>
        <w:spacing w:after="0" w:line="240" w:lineRule="auto"/>
        <w:contextualSpacing/>
        <w:jc w:val="both"/>
        <w:rPr>
          <w:rFonts w:ascii="Times New Roman" w:eastAsia="Calibri" w:hAnsi="Times New Roman" w:cs="Times New Roman"/>
          <w:sz w:val="24"/>
          <w:szCs w:val="24"/>
          <w:lang w:val="en-GB" w:eastAsia="en-US"/>
        </w:rPr>
      </w:pPr>
    </w:p>
    <w:p w:rsidR="00E45DDA" w:rsidRDefault="00E45DDA" w:rsidP="00180A0B">
      <w:pPr>
        <w:spacing w:after="0" w:line="240" w:lineRule="auto"/>
        <w:contextualSpacing/>
        <w:jc w:val="both"/>
        <w:rPr>
          <w:rFonts w:ascii="Times New Roman" w:eastAsia="Calibri" w:hAnsi="Times New Roman" w:cs="Times New Roman"/>
          <w:sz w:val="24"/>
          <w:szCs w:val="24"/>
          <w:lang w:val="en-GB" w:eastAsia="en-US"/>
        </w:rPr>
      </w:pPr>
    </w:p>
    <w:p w:rsidR="007102FE" w:rsidRPr="0008038A" w:rsidRDefault="007102FE" w:rsidP="007102FE">
      <w:pPr>
        <w:numPr>
          <w:ilvl w:val="0"/>
          <w:numId w:val="7"/>
        </w:numPr>
        <w:spacing w:after="0" w:line="240" w:lineRule="auto"/>
        <w:contextualSpacing/>
        <w:jc w:val="both"/>
        <w:rPr>
          <w:rFonts w:ascii="Times New Roman" w:eastAsia="Calibri" w:hAnsi="Times New Roman" w:cs="Times New Roman"/>
          <w:b/>
          <w:sz w:val="24"/>
          <w:szCs w:val="24"/>
          <w:lang w:val="en-GB" w:eastAsia="en-US"/>
        </w:rPr>
      </w:pPr>
      <w:r w:rsidRPr="0008038A">
        <w:rPr>
          <w:rFonts w:ascii="Times New Roman" w:eastAsia="Calibri" w:hAnsi="Times New Roman" w:cs="Times New Roman"/>
          <w:b/>
          <w:sz w:val="24"/>
          <w:szCs w:val="24"/>
          <w:lang w:val="en-GB" w:eastAsia="en-US"/>
        </w:rPr>
        <w:t xml:space="preserve">Please provide a list of ten important examples of dissemination/knowledge exchange activities of the research unit from the last 5-10 years. </w:t>
      </w:r>
    </w:p>
    <w:p w:rsidR="00CF7207" w:rsidRDefault="00CF7207" w:rsidP="00CF7207">
      <w:pPr>
        <w:spacing w:after="0" w:line="240" w:lineRule="auto"/>
        <w:contextualSpacing/>
        <w:jc w:val="both"/>
        <w:rPr>
          <w:rFonts w:ascii="Times New Roman" w:eastAsia="Calibri" w:hAnsi="Times New Roman" w:cs="Times New Roman"/>
          <w:sz w:val="24"/>
          <w:szCs w:val="24"/>
          <w:lang w:val="en-GB" w:eastAsia="en-US"/>
        </w:rPr>
      </w:pPr>
    </w:p>
    <w:p w:rsidR="007835B5" w:rsidRDefault="007835B5" w:rsidP="009005D6">
      <w:pPr>
        <w:spacing w:after="0" w:line="240" w:lineRule="auto"/>
        <w:contextualSpacing/>
        <w:jc w:val="both"/>
        <w:rPr>
          <w:rFonts w:ascii="Times New Roman" w:eastAsia="Calibri" w:hAnsi="Times New Roman" w:cs="Times New Roman"/>
          <w:sz w:val="24"/>
          <w:szCs w:val="24"/>
          <w:lang w:val="en-GB" w:eastAsia="en-US"/>
        </w:rPr>
      </w:pPr>
    </w:p>
    <w:p w:rsidR="00A96AAD" w:rsidRDefault="00A96AAD" w:rsidP="009005D6">
      <w:pPr>
        <w:spacing w:after="0" w:line="240" w:lineRule="auto"/>
        <w:rPr>
          <w:rFonts w:ascii="Times New Roman" w:eastAsia="SimSun" w:hAnsi="Times New Roman" w:cs="Times New Roman"/>
          <w:b/>
          <w:sz w:val="24"/>
          <w:szCs w:val="24"/>
          <w:lang w:val="en-GB" w:eastAsia="nb-NO"/>
        </w:rPr>
      </w:pPr>
      <w:r w:rsidRPr="00272F5D">
        <w:rPr>
          <w:rFonts w:ascii="Times New Roman" w:eastAsia="SimSun" w:hAnsi="Times New Roman" w:cs="Times New Roman"/>
          <w:b/>
          <w:sz w:val="24"/>
          <w:szCs w:val="24"/>
          <w:lang w:val="en-GB" w:eastAsia="nb-NO"/>
        </w:rPr>
        <w:t>List of 10 most important dissemination and knowledge exchange results the last 5-10 years</w:t>
      </w:r>
      <w:r w:rsidR="00B50915">
        <w:rPr>
          <w:rFonts w:ascii="Times New Roman" w:eastAsia="SimSun" w:hAnsi="Times New Roman" w:cs="Times New Roman"/>
          <w:b/>
          <w:sz w:val="24"/>
          <w:szCs w:val="24"/>
          <w:lang w:val="en-GB" w:eastAsia="nb-NO"/>
        </w:rPr>
        <w:t xml:space="preserve"> (listed in chronological order)</w:t>
      </w:r>
    </w:p>
    <w:p w:rsidR="009005D6" w:rsidRPr="00272F5D" w:rsidRDefault="009005D6" w:rsidP="009005D6">
      <w:pPr>
        <w:spacing w:after="0" w:line="240" w:lineRule="auto"/>
        <w:rPr>
          <w:rFonts w:ascii="Times New Roman" w:eastAsia="SimSun" w:hAnsi="Times New Roman" w:cs="Times New Roman"/>
          <w:b/>
          <w:bCs/>
          <w:sz w:val="24"/>
          <w:szCs w:val="24"/>
          <w:lang w:val="en-GB" w:eastAsia="nb-NO"/>
        </w:rPr>
      </w:pPr>
    </w:p>
    <w:tbl>
      <w:tblPr>
        <w:tblStyle w:val="TableGrid"/>
        <w:tblW w:w="5314" w:type="pct"/>
        <w:jc w:val="center"/>
        <w:tblLook w:val="04A0" w:firstRow="1" w:lastRow="0" w:firstColumn="1" w:lastColumn="0" w:noHBand="0" w:noVBand="1"/>
      </w:tblPr>
      <w:tblGrid>
        <w:gridCol w:w="3794"/>
        <w:gridCol w:w="3194"/>
        <w:gridCol w:w="3189"/>
      </w:tblGrid>
      <w:tr w:rsidR="00A96AAD" w:rsidRPr="00C85EB3" w:rsidTr="007835B5">
        <w:trPr>
          <w:jc w:val="center"/>
        </w:trPr>
        <w:tc>
          <w:tcPr>
            <w:tcW w:w="1864" w:type="pct"/>
          </w:tcPr>
          <w:p w:rsidR="00C85EB3" w:rsidRDefault="00C85EB3" w:rsidP="00635831">
            <w:pPr>
              <w:spacing w:after="0" w:line="240" w:lineRule="auto"/>
              <w:jc w:val="center"/>
              <w:rPr>
                <w:rFonts w:ascii="Times New Roman" w:eastAsia="SimSun" w:hAnsi="Times New Roman" w:cs="Times New Roman"/>
                <w:b/>
                <w:lang w:val="en-GB"/>
              </w:rPr>
            </w:pPr>
          </w:p>
          <w:p w:rsidR="00A96AAD" w:rsidRDefault="00A96AAD" w:rsidP="00635831">
            <w:pPr>
              <w:spacing w:after="0" w:line="240" w:lineRule="auto"/>
              <w:jc w:val="center"/>
              <w:rPr>
                <w:rFonts w:ascii="Times New Roman" w:eastAsia="SimSun" w:hAnsi="Times New Roman" w:cs="Times New Roman"/>
                <w:b/>
                <w:lang w:val="en-GB"/>
              </w:rPr>
            </w:pPr>
            <w:r w:rsidRPr="00C85EB3">
              <w:rPr>
                <w:rFonts w:ascii="Times New Roman" w:eastAsia="SimSun" w:hAnsi="Times New Roman" w:cs="Times New Roman"/>
                <w:b/>
                <w:lang w:val="en-GB"/>
              </w:rPr>
              <w:t>Title</w:t>
            </w:r>
          </w:p>
          <w:p w:rsidR="00C85EB3" w:rsidRPr="00C85EB3" w:rsidRDefault="00C85EB3" w:rsidP="00635831">
            <w:pPr>
              <w:spacing w:after="0" w:line="240" w:lineRule="auto"/>
              <w:jc w:val="center"/>
              <w:rPr>
                <w:rFonts w:ascii="Times New Roman" w:eastAsia="SimSun" w:hAnsi="Times New Roman" w:cs="Times New Roman"/>
                <w:b/>
                <w:lang w:val="en-GB"/>
              </w:rPr>
            </w:pPr>
          </w:p>
        </w:tc>
        <w:tc>
          <w:tcPr>
            <w:tcW w:w="1569" w:type="pct"/>
          </w:tcPr>
          <w:p w:rsidR="00C85EB3" w:rsidRDefault="00C85EB3" w:rsidP="00635831">
            <w:pPr>
              <w:spacing w:after="0" w:line="240" w:lineRule="auto"/>
              <w:jc w:val="center"/>
              <w:rPr>
                <w:rFonts w:ascii="Times New Roman" w:eastAsia="SimSun" w:hAnsi="Times New Roman" w:cs="Times New Roman"/>
                <w:b/>
                <w:lang w:val="en-GB"/>
              </w:rPr>
            </w:pPr>
          </w:p>
          <w:p w:rsidR="00A96AAD" w:rsidRPr="00C85EB3" w:rsidRDefault="00A96AAD" w:rsidP="00635831">
            <w:pPr>
              <w:spacing w:after="0" w:line="240" w:lineRule="auto"/>
              <w:jc w:val="center"/>
              <w:rPr>
                <w:rFonts w:ascii="Times New Roman" w:eastAsia="SimSun" w:hAnsi="Times New Roman" w:cs="Times New Roman"/>
                <w:b/>
                <w:lang w:val="en-GB"/>
              </w:rPr>
            </w:pPr>
            <w:r w:rsidRPr="00C85EB3">
              <w:rPr>
                <w:rFonts w:ascii="Times New Roman" w:eastAsia="SimSun" w:hAnsi="Times New Roman" w:cs="Times New Roman"/>
                <w:b/>
                <w:lang w:val="en-GB"/>
              </w:rPr>
              <w:t>Category*</w:t>
            </w:r>
          </w:p>
        </w:tc>
        <w:tc>
          <w:tcPr>
            <w:tcW w:w="1568" w:type="pct"/>
          </w:tcPr>
          <w:p w:rsidR="00C85EB3" w:rsidRDefault="00C85EB3" w:rsidP="00635831">
            <w:pPr>
              <w:spacing w:after="0" w:line="240" w:lineRule="auto"/>
              <w:jc w:val="center"/>
              <w:rPr>
                <w:rFonts w:ascii="Times New Roman" w:eastAsia="SimSun" w:hAnsi="Times New Roman" w:cs="Times New Roman"/>
                <w:b/>
                <w:lang w:val="en-GB"/>
              </w:rPr>
            </w:pPr>
          </w:p>
          <w:p w:rsidR="00A96AAD" w:rsidRPr="00C85EB3" w:rsidRDefault="00A96AAD" w:rsidP="00635831">
            <w:pPr>
              <w:spacing w:after="0" w:line="240" w:lineRule="auto"/>
              <w:jc w:val="center"/>
              <w:rPr>
                <w:rFonts w:ascii="Times New Roman" w:eastAsia="SimSun" w:hAnsi="Times New Roman" w:cs="Times New Roman"/>
                <w:b/>
                <w:lang w:val="en-GB"/>
              </w:rPr>
            </w:pPr>
            <w:r w:rsidRPr="00C85EB3">
              <w:rPr>
                <w:rFonts w:ascii="Times New Roman" w:eastAsia="SimSun" w:hAnsi="Times New Roman" w:cs="Times New Roman"/>
                <w:b/>
                <w:lang w:val="en-GB"/>
              </w:rPr>
              <w:t>Reference of sources</w:t>
            </w:r>
          </w:p>
        </w:tc>
      </w:tr>
      <w:tr w:rsidR="00A96AAD" w:rsidRPr="00901DC1" w:rsidTr="007835B5">
        <w:trPr>
          <w:jc w:val="center"/>
        </w:trPr>
        <w:tc>
          <w:tcPr>
            <w:tcW w:w="1864" w:type="pct"/>
          </w:tcPr>
          <w:p w:rsidR="00635831" w:rsidRDefault="00635831" w:rsidP="00635831">
            <w:pPr>
              <w:spacing w:after="0" w:line="240" w:lineRule="auto"/>
              <w:rPr>
                <w:rFonts w:ascii="Times New Roman" w:eastAsia="SimSun" w:hAnsi="Times New Roman" w:cs="Times New Roman"/>
                <w:lang w:val="en-GB"/>
              </w:rPr>
            </w:pPr>
          </w:p>
          <w:p w:rsidR="00A96AAD"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1.</w:t>
            </w:r>
            <w:r w:rsidR="007835B5">
              <w:t xml:space="preserve"> </w:t>
            </w:r>
            <w:r w:rsidR="007835B5" w:rsidRPr="007835B5">
              <w:rPr>
                <w:rFonts w:ascii="Times New Roman" w:eastAsia="SimSun" w:hAnsi="Times New Roman" w:cs="Times New Roman"/>
                <w:lang w:val="en-GB"/>
              </w:rPr>
              <w:t>Et åpnere forskningssystem</w:t>
            </w:r>
          </w:p>
          <w:p w:rsidR="00635831" w:rsidRPr="00901DC1" w:rsidRDefault="00635831" w:rsidP="00635831">
            <w:pPr>
              <w:spacing w:after="0" w:line="240" w:lineRule="auto"/>
              <w:rPr>
                <w:rFonts w:ascii="Times New Roman" w:eastAsia="SimSun" w:hAnsi="Times New Roman" w:cs="Times New Roman"/>
                <w:lang w:val="en-GB"/>
              </w:rPr>
            </w:pPr>
          </w:p>
        </w:tc>
        <w:tc>
          <w:tcPr>
            <w:tcW w:w="1569" w:type="pct"/>
          </w:tcPr>
          <w:p w:rsidR="00A96AAD" w:rsidRPr="00901DC1" w:rsidRDefault="007835B5"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lang w:val="en-GB"/>
              </w:rPr>
              <w:t>Report</w:t>
            </w:r>
          </w:p>
        </w:tc>
        <w:tc>
          <w:tcPr>
            <w:tcW w:w="1568" w:type="pct"/>
          </w:tcPr>
          <w:p w:rsidR="00A96AAD" w:rsidRPr="00901DC1" w:rsidRDefault="007835B5" w:rsidP="00635831">
            <w:pPr>
              <w:spacing w:after="0" w:line="240" w:lineRule="auto"/>
              <w:rPr>
                <w:rFonts w:ascii="Times New Roman" w:eastAsia="SimSun" w:hAnsi="Times New Roman" w:cs="Times New Roman"/>
                <w:lang w:val="en-GB"/>
              </w:rPr>
            </w:pPr>
            <w:r w:rsidRPr="007835B5">
              <w:rPr>
                <w:rFonts w:ascii="Times New Roman" w:eastAsia="SimSun" w:hAnsi="Times New Roman" w:cs="Times New Roman"/>
                <w:lang w:val="en-GB"/>
              </w:rPr>
              <w:t>Fagerberg ekspertutvalg</w:t>
            </w:r>
            <w:r>
              <w:rPr>
                <w:rFonts w:ascii="Times New Roman" w:eastAsia="SimSun" w:hAnsi="Times New Roman" w:cs="Times New Roman"/>
                <w:lang w:val="en-GB"/>
              </w:rPr>
              <w:t>,</w:t>
            </w:r>
            <w:r w:rsidR="00635831">
              <w:rPr>
                <w:rFonts w:ascii="Times New Roman" w:eastAsia="SimSun" w:hAnsi="Times New Roman" w:cs="Times New Roman"/>
                <w:lang w:val="en-GB"/>
              </w:rPr>
              <w:t xml:space="preserve"> NOU 2011.</w:t>
            </w:r>
          </w:p>
        </w:tc>
      </w:tr>
      <w:tr w:rsidR="00A96AAD" w:rsidRPr="00901DC1" w:rsidTr="007835B5">
        <w:trPr>
          <w:jc w:val="center"/>
        </w:trPr>
        <w:tc>
          <w:tcPr>
            <w:tcW w:w="1864" w:type="pct"/>
          </w:tcPr>
          <w:p w:rsidR="00A96AAD"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2.</w:t>
            </w:r>
            <w:r w:rsidR="007835B5">
              <w:t xml:space="preserve"> </w:t>
            </w:r>
            <w:r w:rsidR="007835B5" w:rsidRPr="007835B5">
              <w:rPr>
                <w:rFonts w:ascii="Times New Roman" w:eastAsia="SimSun" w:hAnsi="Times New Roman" w:cs="Times New Roman"/>
                <w:lang w:val="en-GB"/>
              </w:rPr>
              <w:t>Rik på natur. Innovasjon i en ressursbasert kunnskapsøkonomi</w:t>
            </w:r>
          </w:p>
          <w:p w:rsidR="00635831" w:rsidRPr="00901DC1" w:rsidRDefault="00635831" w:rsidP="00635831">
            <w:pPr>
              <w:spacing w:after="0" w:line="240" w:lineRule="auto"/>
              <w:rPr>
                <w:rFonts w:ascii="Times New Roman" w:eastAsia="SimSun" w:hAnsi="Times New Roman" w:cs="Times New Roman"/>
                <w:lang w:val="en-GB"/>
              </w:rPr>
            </w:pPr>
          </w:p>
        </w:tc>
        <w:tc>
          <w:tcPr>
            <w:tcW w:w="1569" w:type="pct"/>
          </w:tcPr>
          <w:p w:rsidR="00635831" w:rsidRDefault="00635831" w:rsidP="00635831">
            <w:pPr>
              <w:spacing w:after="0" w:line="240" w:lineRule="auto"/>
              <w:jc w:val="center"/>
              <w:rPr>
                <w:rFonts w:ascii="Times New Roman" w:eastAsia="SimSun" w:hAnsi="Times New Roman" w:cs="Times New Roman"/>
                <w:lang w:val="en-GB"/>
              </w:rPr>
            </w:pPr>
          </w:p>
          <w:p w:rsidR="00A96AAD" w:rsidRPr="00901DC1" w:rsidRDefault="007835B5"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lang w:val="en-GB"/>
              </w:rPr>
              <w:t>Report</w:t>
            </w:r>
          </w:p>
        </w:tc>
        <w:tc>
          <w:tcPr>
            <w:tcW w:w="1568" w:type="pct"/>
          </w:tcPr>
          <w:p w:rsidR="00A96AAD" w:rsidRPr="00901DC1" w:rsidRDefault="007835B5" w:rsidP="00635831">
            <w:pPr>
              <w:spacing w:after="0" w:line="240" w:lineRule="auto"/>
              <w:rPr>
                <w:rFonts w:ascii="Times New Roman" w:eastAsia="SimSun" w:hAnsi="Times New Roman" w:cs="Times New Roman"/>
                <w:lang w:val="en-GB"/>
              </w:rPr>
            </w:pPr>
            <w:r>
              <w:rPr>
                <w:rFonts w:ascii="Times New Roman" w:eastAsia="SimSun" w:hAnsi="Times New Roman" w:cs="Times New Roman"/>
                <w:lang w:val="en-GB"/>
              </w:rPr>
              <w:t xml:space="preserve">Wicken, Olav; Hanson, Jens, </w:t>
            </w:r>
            <w:r w:rsidRPr="007835B5">
              <w:rPr>
                <w:rFonts w:ascii="Times New Roman" w:eastAsia="SimSun" w:hAnsi="Times New Roman" w:cs="Times New Roman"/>
                <w:lang w:val="en-GB"/>
              </w:rPr>
              <w:t xml:space="preserve"> Fagbokforlaget 2008</w:t>
            </w:r>
            <w:r w:rsidR="00635831">
              <w:rPr>
                <w:rFonts w:ascii="Times New Roman" w:eastAsia="SimSun" w:hAnsi="Times New Roman" w:cs="Times New Roman"/>
                <w:lang w:val="en-GB"/>
              </w:rPr>
              <w:t>.</w:t>
            </w:r>
          </w:p>
        </w:tc>
      </w:tr>
      <w:tr w:rsidR="00A96AAD" w:rsidRPr="007835B5" w:rsidTr="007835B5">
        <w:trPr>
          <w:jc w:val="center"/>
        </w:trPr>
        <w:tc>
          <w:tcPr>
            <w:tcW w:w="1864" w:type="pct"/>
          </w:tcPr>
          <w:p w:rsidR="00635831" w:rsidRDefault="00635831" w:rsidP="00635831">
            <w:pPr>
              <w:spacing w:after="0" w:line="240" w:lineRule="auto"/>
              <w:rPr>
                <w:rFonts w:ascii="Times New Roman" w:eastAsia="SimSun" w:hAnsi="Times New Roman" w:cs="Times New Roman"/>
                <w:lang w:val="en-GB"/>
              </w:rPr>
            </w:pPr>
          </w:p>
          <w:p w:rsidR="00A96AAD"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3.</w:t>
            </w:r>
            <w:r w:rsidR="007835B5">
              <w:t xml:space="preserve"> </w:t>
            </w:r>
            <w:r w:rsidR="007835B5" w:rsidRPr="007835B5">
              <w:rPr>
                <w:rFonts w:ascii="Times New Roman" w:eastAsia="SimSun" w:hAnsi="Times New Roman" w:cs="Times New Roman"/>
                <w:lang w:val="en-GB"/>
              </w:rPr>
              <w:t>Samtidshistoriske perspektiver</w:t>
            </w:r>
          </w:p>
          <w:p w:rsidR="00635831" w:rsidRPr="00901DC1" w:rsidRDefault="00635831" w:rsidP="00635831">
            <w:pPr>
              <w:spacing w:after="0" w:line="240" w:lineRule="auto"/>
              <w:rPr>
                <w:rFonts w:ascii="Times New Roman" w:eastAsia="SimSun" w:hAnsi="Times New Roman" w:cs="Times New Roman"/>
                <w:lang w:val="en-GB"/>
              </w:rPr>
            </w:pPr>
          </w:p>
        </w:tc>
        <w:tc>
          <w:tcPr>
            <w:tcW w:w="1569" w:type="pct"/>
          </w:tcPr>
          <w:p w:rsidR="00635831" w:rsidRDefault="00635831" w:rsidP="00635831">
            <w:pPr>
              <w:spacing w:after="0" w:line="240" w:lineRule="auto"/>
              <w:jc w:val="center"/>
              <w:rPr>
                <w:rFonts w:ascii="Times New Roman" w:eastAsia="SimSun" w:hAnsi="Times New Roman" w:cs="Times New Roman"/>
                <w:lang w:val="en-GB"/>
              </w:rPr>
            </w:pPr>
          </w:p>
          <w:p w:rsidR="00A96AAD" w:rsidRPr="00901DC1" w:rsidRDefault="007835B5"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lang w:val="en-GB"/>
              </w:rPr>
              <w:t>Book</w:t>
            </w:r>
          </w:p>
        </w:tc>
        <w:tc>
          <w:tcPr>
            <w:tcW w:w="1568" w:type="pct"/>
          </w:tcPr>
          <w:p w:rsidR="00A96AAD" w:rsidRPr="007835B5" w:rsidRDefault="007835B5" w:rsidP="00635831">
            <w:pPr>
              <w:spacing w:after="0" w:line="240" w:lineRule="auto"/>
              <w:rPr>
                <w:rFonts w:ascii="Times New Roman" w:eastAsia="SimSun" w:hAnsi="Times New Roman" w:cs="Times New Roman"/>
              </w:rPr>
            </w:pPr>
            <w:r w:rsidRPr="007835B5">
              <w:rPr>
                <w:rFonts w:ascii="Times New Roman" w:eastAsia="SimSun" w:hAnsi="Times New Roman" w:cs="Times New Roman"/>
              </w:rPr>
              <w:t>Gulbrandsen, Magnus et alia, Unipub forlag 2011</w:t>
            </w:r>
            <w:r w:rsidR="00635831">
              <w:rPr>
                <w:rFonts w:ascii="Times New Roman" w:eastAsia="SimSun" w:hAnsi="Times New Roman" w:cs="Times New Roman"/>
              </w:rPr>
              <w:t>.</w:t>
            </w:r>
          </w:p>
        </w:tc>
      </w:tr>
      <w:tr w:rsidR="00A96AAD" w:rsidRPr="007835B5" w:rsidTr="007835B5">
        <w:trPr>
          <w:jc w:val="center"/>
        </w:trPr>
        <w:tc>
          <w:tcPr>
            <w:tcW w:w="1864" w:type="pct"/>
          </w:tcPr>
          <w:p w:rsidR="00A96AAD" w:rsidRPr="007835B5" w:rsidRDefault="00A96AAD" w:rsidP="00635831">
            <w:pPr>
              <w:spacing w:after="0" w:line="240" w:lineRule="auto"/>
              <w:rPr>
                <w:rFonts w:ascii="Times New Roman" w:eastAsia="SimSun" w:hAnsi="Times New Roman" w:cs="Times New Roman"/>
              </w:rPr>
            </w:pPr>
            <w:r w:rsidRPr="007835B5">
              <w:rPr>
                <w:rFonts w:ascii="Times New Roman" w:eastAsia="SimSun" w:hAnsi="Times New Roman" w:cs="Times New Roman"/>
              </w:rPr>
              <w:t>4.</w:t>
            </w:r>
            <w:r w:rsidR="007835B5">
              <w:t xml:space="preserve"> </w:t>
            </w:r>
            <w:r w:rsidR="007835B5" w:rsidRPr="007835B5">
              <w:rPr>
                <w:rFonts w:ascii="Times New Roman" w:eastAsia="SimSun" w:hAnsi="Times New Roman" w:cs="Times New Roman"/>
              </w:rPr>
              <w:t xml:space="preserve">Energirikdommens </w:t>
            </w:r>
            <w:r w:rsidR="007835B5">
              <w:rPr>
                <w:rFonts w:ascii="Times New Roman" w:eastAsia="SimSun" w:hAnsi="Times New Roman" w:cs="Times New Roman"/>
              </w:rPr>
              <w:t>p</w:t>
            </w:r>
            <w:r w:rsidR="007835B5" w:rsidRPr="007835B5">
              <w:rPr>
                <w:rFonts w:ascii="Times New Roman" w:eastAsia="SimSun" w:hAnsi="Times New Roman" w:cs="Times New Roman"/>
              </w:rPr>
              <w:t>aradokser: Innovasjon som klimapolitikk og næringsutvikling</w:t>
            </w:r>
          </w:p>
        </w:tc>
        <w:tc>
          <w:tcPr>
            <w:tcW w:w="1569" w:type="pct"/>
          </w:tcPr>
          <w:p w:rsidR="00A96AAD" w:rsidRDefault="00A96AAD" w:rsidP="00635831">
            <w:pPr>
              <w:spacing w:after="0" w:line="240" w:lineRule="auto"/>
              <w:jc w:val="center"/>
              <w:rPr>
                <w:rFonts w:ascii="Times New Roman" w:eastAsia="SimSun" w:hAnsi="Times New Roman" w:cs="Times New Roman"/>
              </w:rPr>
            </w:pPr>
          </w:p>
          <w:p w:rsidR="007835B5" w:rsidRPr="007835B5" w:rsidRDefault="007835B5" w:rsidP="00635831">
            <w:pPr>
              <w:spacing w:after="0" w:line="240" w:lineRule="auto"/>
              <w:jc w:val="center"/>
              <w:rPr>
                <w:rFonts w:ascii="Times New Roman" w:eastAsia="SimSun" w:hAnsi="Times New Roman" w:cs="Times New Roman"/>
              </w:rPr>
            </w:pPr>
            <w:r>
              <w:rPr>
                <w:rFonts w:ascii="Times New Roman" w:eastAsia="SimSun" w:hAnsi="Times New Roman" w:cs="Times New Roman"/>
              </w:rPr>
              <w:t>Book</w:t>
            </w:r>
          </w:p>
        </w:tc>
        <w:tc>
          <w:tcPr>
            <w:tcW w:w="1568" w:type="pct"/>
          </w:tcPr>
          <w:p w:rsidR="00A96AAD" w:rsidRPr="007835B5" w:rsidRDefault="007835B5" w:rsidP="00635831">
            <w:pPr>
              <w:spacing w:after="0" w:line="240" w:lineRule="auto"/>
              <w:rPr>
                <w:rFonts w:ascii="Times New Roman" w:eastAsia="SimSun" w:hAnsi="Times New Roman" w:cs="Times New Roman"/>
                <w:lang w:val="nn-NO"/>
              </w:rPr>
            </w:pPr>
            <w:r w:rsidRPr="007835B5">
              <w:rPr>
                <w:rFonts w:ascii="Times New Roman" w:eastAsia="SimSun" w:hAnsi="Times New Roman" w:cs="Times New Roman"/>
                <w:lang w:val="nn-NO"/>
              </w:rPr>
              <w:t>Hanson, Jens; Kasa, Sjur; Wicken, Olav</w:t>
            </w:r>
            <w:r>
              <w:rPr>
                <w:rFonts w:ascii="Times New Roman" w:eastAsia="SimSun" w:hAnsi="Times New Roman" w:cs="Times New Roman"/>
                <w:lang w:val="nn-NO"/>
              </w:rPr>
              <w:t xml:space="preserve">, </w:t>
            </w:r>
            <w:r w:rsidRPr="007835B5">
              <w:rPr>
                <w:rFonts w:ascii="Times New Roman" w:eastAsia="SimSun" w:hAnsi="Times New Roman" w:cs="Times New Roman"/>
                <w:lang w:val="nn-NO"/>
              </w:rPr>
              <w:t>Universitetsforlaget 2011</w:t>
            </w:r>
            <w:r w:rsidR="00635831">
              <w:rPr>
                <w:rFonts w:ascii="Times New Roman" w:eastAsia="SimSun" w:hAnsi="Times New Roman" w:cs="Times New Roman"/>
                <w:lang w:val="nn-NO"/>
              </w:rPr>
              <w:t>.</w:t>
            </w:r>
          </w:p>
        </w:tc>
      </w:tr>
      <w:tr w:rsidR="00A96AAD" w:rsidRPr="00635831" w:rsidTr="007835B5">
        <w:trPr>
          <w:jc w:val="center"/>
        </w:trPr>
        <w:tc>
          <w:tcPr>
            <w:tcW w:w="1864" w:type="pct"/>
          </w:tcPr>
          <w:p w:rsidR="00635831" w:rsidRPr="00635831" w:rsidRDefault="00635831" w:rsidP="00635831">
            <w:pPr>
              <w:spacing w:after="0" w:line="240" w:lineRule="auto"/>
              <w:rPr>
                <w:rFonts w:ascii="Times New Roman" w:eastAsia="SimSun" w:hAnsi="Times New Roman" w:cs="Times New Roman"/>
                <w:lang w:val="nn-NO"/>
              </w:rPr>
            </w:pPr>
          </w:p>
          <w:p w:rsidR="00A96AAD" w:rsidRPr="007835B5" w:rsidRDefault="00A96AAD" w:rsidP="00635831">
            <w:pPr>
              <w:spacing w:after="0" w:line="240" w:lineRule="auto"/>
              <w:rPr>
                <w:rFonts w:ascii="Times New Roman" w:eastAsia="SimSun" w:hAnsi="Times New Roman" w:cs="Times New Roman"/>
              </w:rPr>
            </w:pPr>
            <w:r w:rsidRPr="007835B5">
              <w:rPr>
                <w:rFonts w:ascii="Times New Roman" w:eastAsia="SimSun" w:hAnsi="Times New Roman" w:cs="Times New Roman"/>
              </w:rPr>
              <w:t>5.</w:t>
            </w:r>
            <w:r w:rsidR="007835B5">
              <w:t xml:space="preserve"> </w:t>
            </w:r>
            <w:r w:rsidR="007835B5" w:rsidRPr="007835B5">
              <w:rPr>
                <w:rFonts w:ascii="Times New Roman" w:eastAsia="SimSun" w:hAnsi="Times New Roman" w:cs="Times New Roman"/>
              </w:rPr>
              <w:t>Mer FoU i Telenor enn antatt</w:t>
            </w:r>
          </w:p>
        </w:tc>
        <w:tc>
          <w:tcPr>
            <w:tcW w:w="1569" w:type="pct"/>
          </w:tcPr>
          <w:p w:rsidR="007835B5" w:rsidRDefault="007835B5" w:rsidP="00635831">
            <w:pPr>
              <w:spacing w:after="0" w:line="240" w:lineRule="auto"/>
              <w:jc w:val="center"/>
              <w:rPr>
                <w:rFonts w:ascii="Times New Roman" w:eastAsia="SimSun" w:hAnsi="Times New Roman" w:cs="Times New Roman"/>
              </w:rPr>
            </w:pPr>
          </w:p>
          <w:p w:rsidR="00A96AAD" w:rsidRPr="007835B5" w:rsidRDefault="007835B5" w:rsidP="00635831">
            <w:pPr>
              <w:spacing w:after="0" w:line="240" w:lineRule="auto"/>
              <w:jc w:val="center"/>
              <w:rPr>
                <w:rFonts w:ascii="Times New Roman" w:eastAsia="SimSun" w:hAnsi="Times New Roman" w:cs="Times New Roman"/>
              </w:rPr>
            </w:pPr>
            <w:r>
              <w:rPr>
                <w:rFonts w:ascii="Times New Roman" w:eastAsia="SimSun" w:hAnsi="Times New Roman" w:cs="Times New Roman"/>
              </w:rPr>
              <w:t>Media contribution</w:t>
            </w:r>
          </w:p>
        </w:tc>
        <w:tc>
          <w:tcPr>
            <w:tcW w:w="1568" w:type="pct"/>
          </w:tcPr>
          <w:p w:rsidR="00A96AAD" w:rsidRPr="00635831" w:rsidRDefault="007835B5" w:rsidP="00635831">
            <w:pPr>
              <w:spacing w:after="0" w:line="240" w:lineRule="auto"/>
              <w:rPr>
                <w:rFonts w:ascii="Times New Roman" w:eastAsia="SimSun" w:hAnsi="Times New Roman" w:cs="Times New Roman"/>
                <w:lang w:val="en-US"/>
              </w:rPr>
            </w:pPr>
            <w:r w:rsidRPr="00635831">
              <w:rPr>
                <w:rFonts w:ascii="Times New Roman" w:eastAsia="SimSun" w:hAnsi="Times New Roman" w:cs="Times New Roman"/>
                <w:lang w:val="en-US"/>
              </w:rPr>
              <w:t>Hildrum, Ja</w:t>
            </w:r>
            <w:r w:rsidR="00635831">
              <w:rPr>
                <w:rFonts w:ascii="Times New Roman" w:eastAsia="SimSun" w:hAnsi="Times New Roman" w:cs="Times New Roman"/>
                <w:lang w:val="en-US"/>
              </w:rPr>
              <w:t xml:space="preserve">rle Moss; Gulbrandsen, Magnus. </w:t>
            </w:r>
            <w:r w:rsidRPr="00635831">
              <w:rPr>
                <w:rFonts w:ascii="Times New Roman" w:eastAsia="SimSun" w:hAnsi="Times New Roman" w:cs="Times New Roman"/>
                <w:lang w:val="en-US"/>
              </w:rPr>
              <w:t>Forskningspolitikk 2012</w:t>
            </w:r>
            <w:r w:rsidR="00635831" w:rsidRPr="00635831">
              <w:rPr>
                <w:rFonts w:ascii="Times New Roman" w:eastAsia="SimSun" w:hAnsi="Times New Roman" w:cs="Times New Roman"/>
                <w:lang w:val="en-US"/>
              </w:rPr>
              <w:t>.</w:t>
            </w:r>
          </w:p>
        </w:tc>
      </w:tr>
      <w:tr w:rsidR="00A96AAD" w:rsidRPr="00901DC1" w:rsidTr="007835B5">
        <w:trPr>
          <w:jc w:val="center"/>
        </w:trPr>
        <w:tc>
          <w:tcPr>
            <w:tcW w:w="1864" w:type="pct"/>
          </w:tcPr>
          <w:p w:rsidR="00A96AAD" w:rsidRPr="00901DC1"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6.</w:t>
            </w:r>
            <w:r w:rsidR="007835B5" w:rsidRPr="007835B5">
              <w:rPr>
                <w:lang w:val="en-US"/>
              </w:rPr>
              <w:t xml:space="preserve"> </w:t>
            </w:r>
            <w:r w:rsidR="007835B5" w:rsidRPr="007835B5">
              <w:rPr>
                <w:rFonts w:ascii="Times New Roman" w:eastAsia="SimSun" w:hAnsi="Times New Roman" w:cs="Times New Roman"/>
                <w:lang w:val="en-GB"/>
              </w:rPr>
              <w:t>Dynamics of cooperation in research and innovation partnerships</w:t>
            </w:r>
          </w:p>
        </w:tc>
        <w:tc>
          <w:tcPr>
            <w:tcW w:w="1569" w:type="pct"/>
          </w:tcPr>
          <w:p w:rsidR="007835B5" w:rsidRDefault="007835B5" w:rsidP="00635831">
            <w:pPr>
              <w:spacing w:after="0" w:line="240" w:lineRule="auto"/>
              <w:jc w:val="center"/>
              <w:rPr>
                <w:rFonts w:ascii="Times New Roman" w:eastAsia="SimSun" w:hAnsi="Times New Roman" w:cs="Times New Roman"/>
                <w:lang w:val="en-GB"/>
              </w:rPr>
            </w:pPr>
          </w:p>
          <w:p w:rsidR="00A96AAD" w:rsidRPr="00901DC1" w:rsidRDefault="007835B5"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lang w:val="en-GB"/>
              </w:rPr>
              <w:t>Conference presentation</w:t>
            </w:r>
          </w:p>
        </w:tc>
        <w:tc>
          <w:tcPr>
            <w:tcW w:w="1568" w:type="pct"/>
          </w:tcPr>
          <w:p w:rsidR="00A96AAD" w:rsidRPr="00901DC1" w:rsidRDefault="007835B5" w:rsidP="00635831">
            <w:pPr>
              <w:spacing w:after="0" w:line="240" w:lineRule="auto"/>
              <w:rPr>
                <w:rFonts w:ascii="Times New Roman" w:eastAsia="SimSun" w:hAnsi="Times New Roman" w:cs="Times New Roman"/>
                <w:lang w:val="en-GB"/>
              </w:rPr>
            </w:pPr>
            <w:r w:rsidRPr="007835B5">
              <w:rPr>
                <w:rFonts w:ascii="Times New Roman" w:eastAsia="SimSun" w:hAnsi="Times New Roman" w:cs="Times New Roman"/>
                <w:lang w:val="en-GB"/>
              </w:rPr>
              <w:t>Thune, T</w:t>
            </w:r>
            <w:r>
              <w:rPr>
                <w:rFonts w:ascii="Times New Roman" w:eastAsia="SimSun" w:hAnsi="Times New Roman" w:cs="Times New Roman"/>
                <w:lang w:val="en-GB"/>
              </w:rPr>
              <w:t>aran Mari; Gulbrandsen, Magnus,</w:t>
            </w:r>
            <w:r w:rsidRPr="007835B5">
              <w:rPr>
                <w:rFonts w:ascii="Times New Roman" w:eastAsia="SimSun" w:hAnsi="Times New Roman" w:cs="Times New Roman"/>
                <w:lang w:val="en-GB"/>
              </w:rPr>
              <w:t xml:space="preserve"> R&amp;D Management conference</w:t>
            </w:r>
            <w:r w:rsidR="00635831">
              <w:rPr>
                <w:rFonts w:ascii="Times New Roman" w:eastAsia="SimSun" w:hAnsi="Times New Roman" w:cs="Times New Roman"/>
                <w:lang w:val="en-GB"/>
              </w:rPr>
              <w:t>,</w:t>
            </w:r>
            <w:r w:rsidRPr="007835B5">
              <w:rPr>
                <w:rFonts w:ascii="Times New Roman" w:eastAsia="SimSun" w:hAnsi="Times New Roman" w:cs="Times New Roman"/>
                <w:lang w:val="en-GB"/>
              </w:rPr>
              <w:t xml:space="preserve"> 2012</w:t>
            </w:r>
            <w:r w:rsidR="00635831">
              <w:rPr>
                <w:rFonts w:ascii="Times New Roman" w:eastAsia="SimSun" w:hAnsi="Times New Roman" w:cs="Times New Roman"/>
                <w:lang w:val="en-GB"/>
              </w:rPr>
              <w:t>.</w:t>
            </w:r>
          </w:p>
        </w:tc>
      </w:tr>
      <w:tr w:rsidR="00A96AAD" w:rsidRPr="00901DC1" w:rsidTr="007835B5">
        <w:trPr>
          <w:jc w:val="center"/>
        </w:trPr>
        <w:tc>
          <w:tcPr>
            <w:tcW w:w="1864" w:type="pct"/>
          </w:tcPr>
          <w:p w:rsidR="00635831" w:rsidRDefault="00635831" w:rsidP="00635831">
            <w:pPr>
              <w:spacing w:after="0" w:line="240" w:lineRule="auto"/>
              <w:rPr>
                <w:rFonts w:ascii="Times New Roman" w:eastAsia="SimSun" w:hAnsi="Times New Roman" w:cs="Times New Roman"/>
                <w:lang w:val="en-GB"/>
              </w:rPr>
            </w:pPr>
          </w:p>
          <w:p w:rsidR="00A96AAD" w:rsidRPr="00901DC1"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7.</w:t>
            </w:r>
            <w:r w:rsidR="007835B5">
              <w:t xml:space="preserve"> </w:t>
            </w:r>
            <w:r w:rsidR="007835B5" w:rsidRPr="007835B5">
              <w:rPr>
                <w:rFonts w:ascii="Times New Roman" w:eastAsia="SimSun" w:hAnsi="Times New Roman" w:cs="Times New Roman"/>
                <w:lang w:val="en-GB"/>
              </w:rPr>
              <w:t>The Norwegian Paradox</w:t>
            </w:r>
          </w:p>
        </w:tc>
        <w:tc>
          <w:tcPr>
            <w:tcW w:w="1569" w:type="pct"/>
          </w:tcPr>
          <w:p w:rsidR="00A008FE" w:rsidRDefault="00A008FE" w:rsidP="00635831">
            <w:pPr>
              <w:spacing w:after="0" w:line="240" w:lineRule="auto"/>
              <w:jc w:val="center"/>
              <w:rPr>
                <w:rFonts w:ascii="Times New Roman" w:eastAsia="SimSun" w:hAnsi="Times New Roman" w:cs="Times New Roman"/>
                <w:lang w:val="en-GB"/>
              </w:rPr>
            </w:pPr>
          </w:p>
          <w:p w:rsidR="00A96AAD" w:rsidRPr="00901DC1" w:rsidRDefault="00A008FE"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lang w:val="en-GB"/>
              </w:rPr>
              <w:t>Chapter in report</w:t>
            </w:r>
          </w:p>
        </w:tc>
        <w:tc>
          <w:tcPr>
            <w:tcW w:w="1568" w:type="pct"/>
          </w:tcPr>
          <w:p w:rsidR="00A96AAD" w:rsidRPr="00901DC1" w:rsidRDefault="007835B5" w:rsidP="00635831">
            <w:pPr>
              <w:spacing w:after="0" w:line="240" w:lineRule="auto"/>
              <w:rPr>
                <w:rFonts w:ascii="Times New Roman" w:eastAsia="SimSun" w:hAnsi="Times New Roman" w:cs="Times New Roman"/>
                <w:lang w:val="en-GB"/>
              </w:rPr>
            </w:pPr>
            <w:r w:rsidRPr="007835B5">
              <w:rPr>
                <w:rFonts w:ascii="Times New Roman" w:eastAsia="SimSun" w:hAnsi="Times New Roman" w:cs="Times New Roman"/>
                <w:lang w:val="en-GB"/>
              </w:rPr>
              <w:t xml:space="preserve">Castellacci, Fulvio, </w:t>
            </w:r>
            <w:r>
              <w:rPr>
                <w:rFonts w:ascii="Times New Roman" w:eastAsia="SimSun" w:hAnsi="Times New Roman" w:cs="Times New Roman"/>
                <w:lang w:val="en-GB"/>
              </w:rPr>
              <w:t xml:space="preserve">in </w:t>
            </w:r>
            <w:r w:rsidRPr="007835B5">
              <w:rPr>
                <w:rFonts w:ascii="Times New Roman" w:eastAsia="SimSun" w:hAnsi="Times New Roman" w:cs="Times New Roman"/>
                <w:lang w:val="en-GB"/>
              </w:rPr>
              <w:t xml:space="preserve">"Innovasjon på norsk", </w:t>
            </w:r>
            <w:r>
              <w:rPr>
                <w:rFonts w:ascii="Times New Roman" w:eastAsia="SimSun" w:hAnsi="Times New Roman" w:cs="Times New Roman"/>
                <w:lang w:val="en-GB"/>
              </w:rPr>
              <w:t xml:space="preserve">NHD report, </w:t>
            </w:r>
            <w:r w:rsidRPr="007835B5">
              <w:rPr>
                <w:rFonts w:ascii="Times New Roman" w:eastAsia="SimSun" w:hAnsi="Times New Roman" w:cs="Times New Roman"/>
                <w:lang w:val="en-GB"/>
              </w:rPr>
              <w:t xml:space="preserve">2012. </w:t>
            </w:r>
          </w:p>
        </w:tc>
      </w:tr>
      <w:tr w:rsidR="00A96AAD" w:rsidRPr="00901DC1" w:rsidTr="007835B5">
        <w:trPr>
          <w:jc w:val="center"/>
        </w:trPr>
        <w:tc>
          <w:tcPr>
            <w:tcW w:w="1864" w:type="pct"/>
          </w:tcPr>
          <w:p w:rsidR="00635831" w:rsidRDefault="00635831" w:rsidP="00635831">
            <w:pPr>
              <w:spacing w:after="0" w:line="240" w:lineRule="auto"/>
              <w:rPr>
                <w:rFonts w:ascii="Times New Roman" w:eastAsia="SimSun" w:hAnsi="Times New Roman" w:cs="Times New Roman"/>
                <w:lang w:val="en-GB"/>
              </w:rPr>
            </w:pPr>
          </w:p>
          <w:p w:rsidR="00A96AAD"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8.</w:t>
            </w:r>
            <w:r w:rsidR="00A008FE">
              <w:t xml:space="preserve"> </w:t>
            </w:r>
            <w:r w:rsidR="00A008FE" w:rsidRPr="00A008FE">
              <w:rPr>
                <w:rFonts w:ascii="Times New Roman" w:eastAsia="SimSun" w:hAnsi="Times New Roman" w:cs="Times New Roman"/>
                <w:lang w:val="en-GB"/>
              </w:rPr>
              <w:t>Forskere deler sin kunnskap</w:t>
            </w:r>
          </w:p>
          <w:p w:rsidR="00635831" w:rsidRPr="00901DC1" w:rsidRDefault="00635831" w:rsidP="00635831">
            <w:pPr>
              <w:spacing w:after="0" w:line="240" w:lineRule="auto"/>
              <w:rPr>
                <w:rFonts w:ascii="Times New Roman" w:eastAsia="SimSun" w:hAnsi="Times New Roman" w:cs="Times New Roman"/>
                <w:lang w:val="en-GB"/>
              </w:rPr>
            </w:pPr>
          </w:p>
        </w:tc>
        <w:tc>
          <w:tcPr>
            <w:tcW w:w="1569" w:type="pct"/>
          </w:tcPr>
          <w:p w:rsidR="00635831" w:rsidRDefault="00635831" w:rsidP="00635831">
            <w:pPr>
              <w:spacing w:after="0" w:line="240" w:lineRule="auto"/>
              <w:jc w:val="center"/>
              <w:rPr>
                <w:rFonts w:ascii="Times New Roman" w:eastAsia="SimSun" w:hAnsi="Times New Roman" w:cs="Times New Roman"/>
              </w:rPr>
            </w:pPr>
          </w:p>
          <w:p w:rsidR="00A96AAD" w:rsidRPr="00901DC1" w:rsidRDefault="00A008FE"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rPr>
              <w:t>Media contribution</w:t>
            </w:r>
          </w:p>
        </w:tc>
        <w:tc>
          <w:tcPr>
            <w:tcW w:w="1568" w:type="pct"/>
          </w:tcPr>
          <w:p w:rsidR="00A96AAD" w:rsidRPr="00901DC1" w:rsidRDefault="00A008FE" w:rsidP="00635831">
            <w:pPr>
              <w:spacing w:after="0" w:line="240" w:lineRule="auto"/>
              <w:rPr>
                <w:rFonts w:ascii="Times New Roman" w:eastAsia="SimSun" w:hAnsi="Times New Roman" w:cs="Times New Roman"/>
                <w:lang w:val="en-GB"/>
              </w:rPr>
            </w:pPr>
            <w:r w:rsidRPr="00A008FE">
              <w:rPr>
                <w:rFonts w:ascii="Times New Roman" w:eastAsia="Calibri" w:hAnsi="Times New Roman" w:cs="Times New Roman"/>
                <w:lang w:eastAsia="en-US"/>
              </w:rPr>
              <w:t>Gulbrandsen, Magnus</w:t>
            </w:r>
            <w:r>
              <w:rPr>
                <w:rFonts w:ascii="Times New Roman" w:eastAsia="SimSun" w:hAnsi="Times New Roman" w:cs="Times New Roman"/>
                <w:lang w:val="en-GB"/>
              </w:rPr>
              <w:t xml:space="preserve">, </w:t>
            </w:r>
            <w:r w:rsidRPr="00A008FE">
              <w:rPr>
                <w:rFonts w:ascii="Times New Roman" w:eastAsia="SimSun" w:hAnsi="Times New Roman" w:cs="Times New Roman"/>
                <w:lang w:val="en-GB"/>
              </w:rPr>
              <w:t>Forskningspolitikk 2014</w:t>
            </w:r>
            <w:r w:rsidR="00635831">
              <w:rPr>
                <w:rFonts w:ascii="Times New Roman" w:eastAsia="SimSun" w:hAnsi="Times New Roman" w:cs="Times New Roman"/>
                <w:lang w:val="en-GB"/>
              </w:rPr>
              <w:t>.</w:t>
            </w:r>
          </w:p>
        </w:tc>
      </w:tr>
      <w:tr w:rsidR="00A96AAD" w:rsidRPr="00901DC1" w:rsidTr="007835B5">
        <w:trPr>
          <w:jc w:val="center"/>
        </w:trPr>
        <w:tc>
          <w:tcPr>
            <w:tcW w:w="1864" w:type="pct"/>
          </w:tcPr>
          <w:p w:rsidR="00A96AAD" w:rsidRPr="00901DC1"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9.</w:t>
            </w:r>
            <w:r w:rsidR="00A008FE" w:rsidRPr="00A008FE">
              <w:rPr>
                <w:lang w:val="en-US"/>
              </w:rPr>
              <w:t xml:space="preserve"> </w:t>
            </w:r>
            <w:r w:rsidR="00A008FE" w:rsidRPr="00A008FE">
              <w:rPr>
                <w:rFonts w:ascii="Times New Roman" w:eastAsia="SimSun" w:hAnsi="Times New Roman" w:cs="Times New Roman"/>
                <w:lang w:val="en-GB"/>
              </w:rPr>
              <w:t>The Impact and Future of Arts and Humanities Research</w:t>
            </w:r>
          </w:p>
        </w:tc>
        <w:tc>
          <w:tcPr>
            <w:tcW w:w="1569" w:type="pct"/>
          </w:tcPr>
          <w:p w:rsidR="00A008FE" w:rsidRDefault="00A008FE" w:rsidP="00635831">
            <w:pPr>
              <w:spacing w:after="0" w:line="240" w:lineRule="auto"/>
              <w:jc w:val="center"/>
              <w:rPr>
                <w:rFonts w:ascii="Times New Roman" w:eastAsia="SimSun" w:hAnsi="Times New Roman" w:cs="Times New Roman"/>
                <w:lang w:val="en-GB"/>
              </w:rPr>
            </w:pPr>
          </w:p>
          <w:p w:rsidR="00A96AAD" w:rsidRPr="00901DC1" w:rsidRDefault="00A008FE"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lang w:val="en-GB"/>
              </w:rPr>
              <w:t>Book</w:t>
            </w:r>
          </w:p>
        </w:tc>
        <w:tc>
          <w:tcPr>
            <w:tcW w:w="1568" w:type="pct"/>
          </w:tcPr>
          <w:p w:rsidR="00A96AAD" w:rsidRPr="00901DC1" w:rsidRDefault="00A008FE" w:rsidP="00635831">
            <w:pPr>
              <w:spacing w:after="0" w:line="240" w:lineRule="auto"/>
              <w:rPr>
                <w:rFonts w:ascii="Times New Roman" w:eastAsia="SimSun" w:hAnsi="Times New Roman" w:cs="Times New Roman"/>
                <w:lang w:val="en-GB"/>
              </w:rPr>
            </w:pPr>
            <w:r w:rsidRPr="00A008FE">
              <w:rPr>
                <w:rFonts w:ascii="Times New Roman" w:eastAsia="SimSun" w:hAnsi="Times New Roman" w:cs="Times New Roman"/>
                <w:lang w:val="en-GB"/>
              </w:rPr>
              <w:t>Gulbrandsen, Magnus; Benneworth, Paul; Hazelkorn, Ellen. Palgrave Macmillan 2016</w:t>
            </w:r>
            <w:r w:rsidR="00635831">
              <w:rPr>
                <w:rFonts w:ascii="Times New Roman" w:eastAsia="SimSun" w:hAnsi="Times New Roman" w:cs="Times New Roman"/>
                <w:lang w:val="en-GB"/>
              </w:rPr>
              <w:t>.</w:t>
            </w:r>
          </w:p>
        </w:tc>
      </w:tr>
      <w:tr w:rsidR="00A96AAD" w:rsidRPr="00901DC1" w:rsidTr="007835B5">
        <w:trPr>
          <w:jc w:val="center"/>
        </w:trPr>
        <w:tc>
          <w:tcPr>
            <w:tcW w:w="1864" w:type="pct"/>
          </w:tcPr>
          <w:p w:rsidR="00A96AAD" w:rsidRPr="00901DC1" w:rsidRDefault="00A96AAD" w:rsidP="00635831">
            <w:pPr>
              <w:spacing w:after="0" w:line="240" w:lineRule="auto"/>
              <w:rPr>
                <w:rFonts w:ascii="Times New Roman" w:eastAsia="SimSun" w:hAnsi="Times New Roman" w:cs="Times New Roman"/>
                <w:lang w:val="en-GB"/>
              </w:rPr>
            </w:pPr>
            <w:r w:rsidRPr="00901DC1">
              <w:rPr>
                <w:rFonts w:ascii="Times New Roman" w:eastAsia="SimSun" w:hAnsi="Times New Roman" w:cs="Times New Roman"/>
                <w:lang w:val="en-GB"/>
              </w:rPr>
              <w:t>10.</w:t>
            </w:r>
            <w:r w:rsidR="00A008FE">
              <w:t xml:space="preserve"> </w:t>
            </w:r>
            <w:r w:rsidR="00A008FE" w:rsidRPr="00A008FE">
              <w:rPr>
                <w:rFonts w:ascii="Times New Roman" w:eastAsia="SimSun" w:hAnsi="Times New Roman" w:cs="Times New Roman"/>
                <w:lang w:val="en-GB"/>
              </w:rPr>
              <w:t>Ikke-akademisk arbeidserfaring: bra for relevans, ikke for kvalitet?</w:t>
            </w:r>
          </w:p>
        </w:tc>
        <w:tc>
          <w:tcPr>
            <w:tcW w:w="1569" w:type="pct"/>
          </w:tcPr>
          <w:p w:rsidR="00635831" w:rsidRDefault="00635831" w:rsidP="00635831">
            <w:pPr>
              <w:spacing w:after="0" w:line="240" w:lineRule="auto"/>
              <w:jc w:val="center"/>
              <w:rPr>
                <w:rFonts w:ascii="Times New Roman" w:eastAsia="SimSun" w:hAnsi="Times New Roman" w:cs="Times New Roman"/>
              </w:rPr>
            </w:pPr>
          </w:p>
          <w:p w:rsidR="00A96AAD" w:rsidRPr="00901DC1" w:rsidRDefault="00A008FE" w:rsidP="00635831">
            <w:pPr>
              <w:spacing w:after="0" w:line="240" w:lineRule="auto"/>
              <w:jc w:val="center"/>
              <w:rPr>
                <w:rFonts w:ascii="Times New Roman" w:eastAsia="SimSun" w:hAnsi="Times New Roman" w:cs="Times New Roman"/>
                <w:lang w:val="en-GB"/>
              </w:rPr>
            </w:pPr>
            <w:r>
              <w:rPr>
                <w:rFonts w:ascii="Times New Roman" w:eastAsia="SimSun" w:hAnsi="Times New Roman" w:cs="Times New Roman"/>
              </w:rPr>
              <w:t>Media contribution</w:t>
            </w:r>
          </w:p>
        </w:tc>
        <w:tc>
          <w:tcPr>
            <w:tcW w:w="1568" w:type="pct"/>
          </w:tcPr>
          <w:p w:rsidR="00A96AAD" w:rsidRPr="00901DC1" w:rsidRDefault="00A008FE" w:rsidP="00635831">
            <w:pPr>
              <w:spacing w:after="0" w:line="240" w:lineRule="auto"/>
              <w:rPr>
                <w:rFonts w:ascii="Times New Roman" w:eastAsia="SimSun" w:hAnsi="Times New Roman" w:cs="Times New Roman"/>
                <w:lang w:val="en-GB"/>
              </w:rPr>
            </w:pPr>
            <w:r w:rsidRPr="00A008FE">
              <w:rPr>
                <w:rFonts w:ascii="Times New Roman" w:eastAsia="SimSun" w:hAnsi="Times New Roman" w:cs="Times New Roman"/>
                <w:lang w:val="en-GB"/>
              </w:rPr>
              <w:t>Gulbrandsen, Magnus; Thune, Taran Mari. Forskningspolitikk 2016</w:t>
            </w:r>
            <w:r w:rsidR="00635831">
              <w:rPr>
                <w:rFonts w:ascii="Times New Roman" w:eastAsia="SimSun" w:hAnsi="Times New Roman" w:cs="Times New Roman"/>
                <w:lang w:val="en-GB"/>
              </w:rPr>
              <w:t>.</w:t>
            </w:r>
          </w:p>
        </w:tc>
      </w:tr>
    </w:tbl>
    <w:p w:rsidR="00236FDB" w:rsidRDefault="00236FDB" w:rsidP="00236FDB">
      <w:pPr>
        <w:spacing w:after="0" w:line="240" w:lineRule="auto"/>
        <w:contextualSpacing/>
        <w:jc w:val="both"/>
        <w:rPr>
          <w:rFonts w:ascii="Times New Roman" w:eastAsia="Calibri" w:hAnsi="Times New Roman" w:cs="Times New Roman"/>
          <w:sz w:val="24"/>
          <w:szCs w:val="24"/>
          <w:lang w:val="en-GB" w:eastAsia="en-US"/>
        </w:rPr>
      </w:pPr>
    </w:p>
    <w:p w:rsidR="00236FDB" w:rsidRDefault="00236FDB" w:rsidP="00236FDB">
      <w:pPr>
        <w:spacing w:after="0" w:line="240" w:lineRule="auto"/>
        <w:contextualSpacing/>
        <w:jc w:val="both"/>
        <w:rPr>
          <w:rFonts w:ascii="Times New Roman" w:eastAsia="Calibri" w:hAnsi="Times New Roman" w:cs="Times New Roman"/>
          <w:sz w:val="24"/>
          <w:szCs w:val="24"/>
          <w:lang w:val="en-GB" w:eastAsia="en-US"/>
        </w:rPr>
      </w:pPr>
    </w:p>
    <w:p w:rsidR="00635831" w:rsidRDefault="00635831" w:rsidP="00236FDB">
      <w:pPr>
        <w:spacing w:after="0" w:line="240" w:lineRule="auto"/>
        <w:contextualSpacing/>
        <w:jc w:val="both"/>
        <w:rPr>
          <w:rFonts w:ascii="Times New Roman" w:eastAsia="Calibri" w:hAnsi="Times New Roman" w:cs="Times New Roman"/>
          <w:sz w:val="24"/>
          <w:szCs w:val="24"/>
          <w:lang w:val="en-GB" w:eastAsia="en-US"/>
        </w:rPr>
      </w:pPr>
    </w:p>
    <w:p w:rsidR="00635831" w:rsidRDefault="00635831" w:rsidP="00236FDB">
      <w:pPr>
        <w:spacing w:after="0" w:line="240" w:lineRule="auto"/>
        <w:contextualSpacing/>
        <w:jc w:val="both"/>
        <w:rPr>
          <w:rFonts w:ascii="Times New Roman" w:eastAsia="Calibri" w:hAnsi="Times New Roman" w:cs="Times New Roman"/>
          <w:sz w:val="24"/>
          <w:szCs w:val="24"/>
          <w:lang w:val="en-GB" w:eastAsia="en-US"/>
        </w:rPr>
      </w:pPr>
    </w:p>
    <w:p w:rsidR="00635831" w:rsidRDefault="00635831" w:rsidP="00236FDB">
      <w:pPr>
        <w:spacing w:after="0" w:line="240" w:lineRule="auto"/>
        <w:contextualSpacing/>
        <w:jc w:val="both"/>
        <w:rPr>
          <w:rFonts w:ascii="Times New Roman" w:eastAsia="Calibri" w:hAnsi="Times New Roman" w:cs="Times New Roman"/>
          <w:sz w:val="24"/>
          <w:szCs w:val="24"/>
          <w:lang w:val="en-GB" w:eastAsia="en-US"/>
        </w:rPr>
      </w:pPr>
    </w:p>
    <w:p w:rsidR="00635831" w:rsidRDefault="00635831" w:rsidP="00236FDB">
      <w:pPr>
        <w:spacing w:after="0" w:line="240" w:lineRule="auto"/>
        <w:contextualSpacing/>
        <w:jc w:val="both"/>
        <w:rPr>
          <w:rFonts w:ascii="Times New Roman" w:eastAsia="Calibri" w:hAnsi="Times New Roman" w:cs="Times New Roman"/>
          <w:sz w:val="24"/>
          <w:szCs w:val="24"/>
          <w:lang w:val="en-GB" w:eastAsia="en-US"/>
        </w:rPr>
      </w:pPr>
    </w:p>
    <w:p w:rsidR="00635831" w:rsidRDefault="00635831" w:rsidP="00236FDB">
      <w:pPr>
        <w:spacing w:after="0" w:line="240" w:lineRule="auto"/>
        <w:contextualSpacing/>
        <w:jc w:val="both"/>
        <w:rPr>
          <w:rFonts w:ascii="Times New Roman" w:eastAsia="Calibri" w:hAnsi="Times New Roman" w:cs="Times New Roman"/>
          <w:sz w:val="24"/>
          <w:szCs w:val="24"/>
          <w:lang w:val="en-GB" w:eastAsia="en-US"/>
        </w:rPr>
      </w:pPr>
    </w:p>
    <w:p w:rsidR="00635831" w:rsidRDefault="00635831" w:rsidP="00236FDB">
      <w:pPr>
        <w:spacing w:after="0" w:line="240" w:lineRule="auto"/>
        <w:contextualSpacing/>
        <w:jc w:val="both"/>
        <w:rPr>
          <w:rFonts w:ascii="Times New Roman" w:eastAsia="Calibri" w:hAnsi="Times New Roman" w:cs="Times New Roman"/>
          <w:sz w:val="24"/>
          <w:szCs w:val="24"/>
          <w:lang w:val="en-GB" w:eastAsia="en-US"/>
        </w:rPr>
      </w:pPr>
    </w:p>
    <w:p w:rsidR="00236FDB" w:rsidRPr="00236FDB" w:rsidRDefault="00236FDB" w:rsidP="00236FDB">
      <w:pPr>
        <w:pStyle w:val="Heading2"/>
        <w:spacing w:before="0"/>
        <w:rPr>
          <w:rFonts w:cs="Times New Roman"/>
          <w:sz w:val="28"/>
          <w:szCs w:val="28"/>
        </w:rPr>
      </w:pPr>
      <w:r w:rsidRPr="00236FDB">
        <w:rPr>
          <w:rFonts w:cs="Times New Roman"/>
          <w:sz w:val="28"/>
          <w:szCs w:val="28"/>
        </w:rPr>
        <w:t>Impact case study</w:t>
      </w:r>
    </w:p>
    <w:p w:rsidR="00236FDB" w:rsidRDefault="00236FDB" w:rsidP="00236FDB">
      <w:pPr>
        <w:spacing w:after="0" w:line="240" w:lineRule="auto"/>
        <w:rPr>
          <w:rFonts w:ascii="Times New Roman" w:hAnsi="Times New Roman" w:cs="Times New Roman"/>
        </w:rPr>
      </w:pPr>
    </w:p>
    <w:p w:rsidR="00236FDB" w:rsidRPr="00236FDB" w:rsidRDefault="00236FDB" w:rsidP="00236FD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212"/>
      </w:tblGrid>
      <w:tr w:rsidR="00236FDB" w:rsidRPr="00236FDB" w:rsidTr="00902DB0">
        <w:tc>
          <w:tcPr>
            <w:tcW w:w="9212" w:type="dxa"/>
          </w:tcPr>
          <w:p w:rsidR="00236FDB" w:rsidRDefault="00236FDB" w:rsidP="00236FDB">
            <w:pPr>
              <w:spacing w:after="0" w:line="240" w:lineRule="auto"/>
              <w:rPr>
                <w:rFonts w:ascii="Times New Roman" w:hAnsi="Times New Roman" w:cs="Times New Roman"/>
                <w:lang w:val="en-US"/>
              </w:rPr>
            </w:pPr>
          </w:p>
          <w:p w:rsidR="00236FDB" w:rsidRPr="00236FDB" w:rsidRDefault="00236FDB" w:rsidP="00236FDB">
            <w:pPr>
              <w:spacing w:after="0" w:line="240" w:lineRule="auto"/>
              <w:rPr>
                <w:rFonts w:ascii="Times New Roman" w:hAnsi="Times New Roman" w:cs="Times New Roman"/>
                <w:b/>
                <w:lang w:val="en-US"/>
              </w:rPr>
            </w:pPr>
            <w:r w:rsidRPr="00236FDB">
              <w:rPr>
                <w:rFonts w:ascii="Times New Roman" w:hAnsi="Times New Roman" w:cs="Times New Roman"/>
                <w:b/>
                <w:lang w:val="en-US"/>
              </w:rPr>
              <w:t xml:space="preserve">Name of impact case: TelenorR </w:t>
            </w:r>
          </w:p>
          <w:p w:rsidR="00236FDB" w:rsidRPr="00236FDB" w:rsidRDefault="00236FDB" w:rsidP="00236FDB">
            <w:pPr>
              <w:spacing w:after="0" w:line="240" w:lineRule="auto"/>
              <w:rPr>
                <w:rFonts w:ascii="Times New Roman" w:hAnsi="Times New Roman" w:cs="Times New Roman"/>
                <w:b/>
                <w:lang w:val="en-US"/>
              </w:rPr>
            </w:pPr>
          </w:p>
        </w:tc>
      </w:tr>
      <w:tr w:rsidR="00236FDB" w:rsidRPr="00236FDB" w:rsidTr="00902DB0">
        <w:tc>
          <w:tcPr>
            <w:tcW w:w="9212" w:type="dxa"/>
          </w:tcPr>
          <w:p w:rsid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b/>
                <w:lang w:val="en-US"/>
              </w:rPr>
            </w:pPr>
            <w:r>
              <w:rPr>
                <w:rFonts w:ascii="Times New Roman" w:hAnsi="Times New Roman" w:cs="Times New Roman"/>
                <w:b/>
                <w:lang w:val="en-US"/>
              </w:rPr>
              <w:t>Summary of the impact:</w:t>
            </w:r>
          </w:p>
          <w:p w:rsidR="00236FDB" w:rsidRP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Following empirical research in partnership with TIK’s innovation group and other actors, the company has shifted its innovation strategy, strengthened the assessment of innovation results and capabilities in the follow-up of individual personnel, improved its innovation management and the ranking of this aspect in the Dow Jones Sustainability Index, and committed to new R&amp;D and innovation partnerships with an emphasis on how Telenor can be an engine for innovation and entrepreneurship in Norway.</w:t>
            </w:r>
          </w:p>
          <w:p w:rsidR="00AE44AD" w:rsidRPr="00236FDB" w:rsidRDefault="00AE44AD" w:rsidP="00236FDB">
            <w:pPr>
              <w:spacing w:after="0" w:line="240" w:lineRule="auto"/>
              <w:rPr>
                <w:rFonts w:ascii="Times New Roman" w:hAnsi="Times New Roman" w:cs="Times New Roman"/>
                <w:lang w:val="en-US"/>
              </w:rPr>
            </w:pPr>
          </w:p>
        </w:tc>
      </w:tr>
      <w:tr w:rsidR="00236FDB" w:rsidRPr="00236FDB" w:rsidTr="00902DB0">
        <w:tc>
          <w:tcPr>
            <w:tcW w:w="9212" w:type="dxa"/>
          </w:tcPr>
          <w:p w:rsid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b/>
                <w:lang w:val="en-US"/>
              </w:rPr>
              <w:t>Description of the research underpinning the impact</w:t>
            </w:r>
            <w:r>
              <w:rPr>
                <w:rFonts w:ascii="Times New Roman" w:hAnsi="Times New Roman" w:cs="Times New Roman"/>
                <w:lang w:val="en-US"/>
              </w:rPr>
              <w:t>:</w:t>
            </w:r>
          </w:p>
          <w:p w:rsidR="00236FDB" w:rsidRPr="00236FDB" w:rsidRDefault="00236FDB" w:rsidP="00236FDB">
            <w:pPr>
              <w:spacing w:after="0" w:line="240" w:lineRule="auto"/>
              <w:rPr>
                <w:rFonts w:ascii="Times New Roman" w:hAnsi="Times New Roman" w:cs="Times New Roman"/>
                <w:lang w:val="en-US"/>
              </w:rPr>
            </w:pPr>
          </w:p>
          <w:p w:rsidR="00236FDB" w:rsidRP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Professor Magnus Gulbrandsen initiated TIK’s innovation group’s first collaboration project with Telenor, which started early 2012 and has been ongoing since. Other research units in Norway (e.g. the Norwegian School of Business in Bergen) and abroad (e.g. London School of Economics) have been involved as well. For TIK, Telenor proved an interesting empirical arena for theories and controversies about innovation. A long-standing debate in innovation has been about the typology and definition of innovation, especially whether there is a fundamental distinction between manufacturing and services. This is related to discussions about the most widely used data source for innovation, the Community Innovation Survey (CIS) and if this is appropriate for all industries. In addition, there are debates about the nature of innovation in digital settings, and more generally whether there is a tension between central aspects of organisational structure/culture and the ability to innovate.</w:t>
            </w: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The first empirical work was to develop a new measurement tool for innovation in a digital service company like Telenor. Using literature on service innovation with newer perspectives on “platforms” and “infrastructures” arising from studies of digital innovation, a detailed instrument was developed. Data was gathered from all business units in Telenor (including in different parts of Europe and Asia) and later presented in various meetings in the company (including a leadership seminar with the CEO), in the media and at scientific conferences. TIK’s postdoc Jarle Hildrum (now in Telenor) was the most important researcher here.</w:t>
            </w:r>
          </w:p>
          <w:p w:rsidR="00236FDB" w:rsidRPr="00236FDB" w:rsidRDefault="00236FDB" w:rsidP="00236FDB">
            <w:pPr>
              <w:spacing w:after="0" w:line="240" w:lineRule="auto"/>
              <w:rPr>
                <w:rFonts w:ascii="Times New Roman" w:hAnsi="Times New Roman" w:cs="Times New Roman"/>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The second empirical work was an organisational culture survey where TIK contributed with state-of-the-art survey tools and theoretical perspectives to develop a questionnaire that would fit the setting of Telenor. The survey received close to 20,000 responses from people in business units all over the world, gaining a unique insight into the culture of a digital multinational. Results showed that the cultural profile was astonishingly similar across business units, e.g. the high weight on customer orientation and integrity and the relatively low weight on innovation in locations as different as Norway, Serbia and Bangladesh. TIK Director Fulvio Castellacci has been central in analysing the survey data.</w:t>
            </w:r>
          </w:p>
          <w:p w:rsidR="00236FDB" w:rsidRPr="00236FDB" w:rsidRDefault="00236FDB" w:rsidP="00236FDB">
            <w:pPr>
              <w:spacing w:after="0" w:line="240" w:lineRule="auto"/>
              <w:rPr>
                <w:rFonts w:ascii="Times New Roman" w:hAnsi="Times New Roman" w:cs="Times New Roman"/>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In addition to these large-scale (and still ongoing) empirical projects, the TIK-Telenor collaboration has involved a number of joint seminars, involvement of students and other activities. The research collaboration continues, now focusing more on the evolutionary transition perspective (the disruptive shift in the telecom industry) and on exploiting the data sources (culture survey and innovation survey) for scientific publication.</w:t>
            </w:r>
          </w:p>
          <w:p w:rsidR="00236FDB" w:rsidRPr="00236FDB" w:rsidRDefault="00236FDB" w:rsidP="00236FDB">
            <w:pPr>
              <w:spacing w:after="0" w:line="240" w:lineRule="auto"/>
              <w:rPr>
                <w:rFonts w:ascii="Times New Roman" w:hAnsi="Times New Roman" w:cs="Times New Roman"/>
                <w:lang w:val="en-US"/>
              </w:rPr>
            </w:pPr>
          </w:p>
        </w:tc>
      </w:tr>
      <w:tr w:rsidR="00236FDB" w:rsidRPr="00236FDB" w:rsidTr="00902DB0">
        <w:tc>
          <w:tcPr>
            <w:tcW w:w="9212" w:type="dxa"/>
          </w:tcPr>
          <w:p w:rsid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b/>
                <w:lang w:val="en-US"/>
              </w:rPr>
            </w:pPr>
            <w:r w:rsidRPr="00236FDB">
              <w:rPr>
                <w:rFonts w:ascii="Times New Roman" w:hAnsi="Times New Roman" w:cs="Times New Roman"/>
                <w:b/>
                <w:lang w:val="en-US"/>
              </w:rPr>
              <w:t>Details of the impact:</w:t>
            </w:r>
          </w:p>
          <w:p w:rsidR="00236FDB" w:rsidRP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When Telenor redefined itself as a service company in the early 2000s, the status of research, development (R&amp;D) and innovation was unclear. These activities went through a large number of reorganisations, and the company was heavily criticised for a lack of focus on research and innovation by various actors including the Ownership Department of the Ministry of Trade and Industry. Telenor also scored at the bottom of the industry in the innovation management section of the Dow Jones Sustainability Index (DJSI), an influential series of indices about stock exchange listed companies.</w:t>
            </w:r>
          </w:p>
          <w:p w:rsidR="00236FDB" w:rsidRPr="00236FDB" w:rsidRDefault="00236FDB" w:rsidP="00236FDB">
            <w:pPr>
              <w:spacing w:after="0" w:line="240" w:lineRule="auto"/>
              <w:rPr>
                <w:rFonts w:ascii="Times New Roman" w:hAnsi="Times New Roman" w:cs="Times New Roman"/>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TIK’s first measurement project showed that the actual innovation expenditure in Telenor was much higher than what was officially reported in the research and CIS surveys. This had a powerful symbolic (and perhaps to some extent political) impact on Telenor, but it also led to changes in data gathering practices and innovation management that moved Telenor up as an “industry leader” in the DJSI. The company now does the annual innovation measurement exercise itself. Several people in Telenor, including Hanne-Stine Hallingby, have been essential in the implementation and follow-up here.</w:t>
            </w:r>
          </w:p>
          <w:p w:rsidR="00236FDB" w:rsidRPr="00236FDB" w:rsidRDefault="00236FDB" w:rsidP="00236FDB">
            <w:pPr>
              <w:spacing w:after="0" w:line="240" w:lineRule="auto"/>
              <w:rPr>
                <w:rFonts w:ascii="Times New Roman" w:hAnsi="Times New Roman" w:cs="Times New Roman"/>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More direct impact can be seen from the culture survey, which clearly demonstrated that innovation is emphasised less in the company than all other aspects that were defined as important. As such the research identified and articulated a problem that was recognised also by many people in Telenor. This problem was discussed at a board meeting where the (former) CEO was given 10 months to improve the innovation work in the company, leading to new strategies, new personnel management systems and more experiments with changes in organisational structure. This work has been strengthened with the new CEO. The research has also been influential in Telenor’s expanded role in the Norwegian innovation system where the company increases its partnership e.g. with incubators and accelerators and gets involved in large-scale initiatives like Toppindustrisenteret together with many research organisations and firms.</w:t>
            </w:r>
          </w:p>
          <w:p w:rsidR="00236FDB" w:rsidRPr="00236FDB" w:rsidRDefault="00236FDB" w:rsidP="00236FDB">
            <w:pPr>
              <w:spacing w:after="0" w:line="240" w:lineRule="auto"/>
              <w:rPr>
                <w:rFonts w:ascii="Times New Roman" w:hAnsi="Times New Roman" w:cs="Times New Roman"/>
                <w:lang w:val="en-US"/>
              </w:rPr>
            </w:pPr>
          </w:p>
        </w:tc>
      </w:tr>
      <w:tr w:rsidR="00236FDB" w:rsidRPr="00236FDB" w:rsidTr="00902DB0">
        <w:tc>
          <w:tcPr>
            <w:tcW w:w="9212" w:type="dxa"/>
          </w:tcPr>
          <w:p w:rsid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b/>
                <w:lang w:val="en-US"/>
              </w:rPr>
            </w:pPr>
            <w:r w:rsidRPr="00236FDB">
              <w:rPr>
                <w:rFonts w:ascii="Times New Roman" w:hAnsi="Times New Roman" w:cs="Times New Roman"/>
                <w:b/>
                <w:lang w:val="en-US"/>
              </w:rPr>
              <w:t>References to the research (scientific publications)</w:t>
            </w:r>
            <w:r>
              <w:rPr>
                <w:rFonts w:ascii="Times New Roman" w:hAnsi="Times New Roman" w:cs="Times New Roman"/>
                <w:b/>
                <w:lang w:val="en-US"/>
              </w:rPr>
              <w:t>:</w:t>
            </w:r>
          </w:p>
          <w:p w:rsidR="00236FDB" w:rsidRP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 xml:space="preserve">Castellacci, F., Gulbrandsen, M., Hildrum, J., Martinkenaite, E., Simensen, E. &amp; Tveito, V. (2016), How Does Innovation Differ across Business Functions? Employee-level Analysis of a Multinational Company. TIK Working Papers on Innovation Studies, 20160321 (found here: </w:t>
            </w:r>
            <w:hyperlink r:id="rId21" w:history="1">
              <w:r w:rsidRPr="00236FDB">
                <w:rPr>
                  <w:rStyle w:val="Hyperlink"/>
                  <w:rFonts w:ascii="Times New Roman" w:hAnsi="Times New Roman" w:cs="Times New Roman"/>
                  <w:lang w:val="en-US"/>
                </w:rPr>
                <w:t>https://ideas.repec.org/p/tik/inowpp/20160321.html</w:t>
              </w:r>
            </w:hyperlink>
            <w:r w:rsidRPr="00236FDB">
              <w:rPr>
                <w:rFonts w:ascii="Times New Roman" w:hAnsi="Times New Roman" w:cs="Times New Roman"/>
                <w:lang w:val="en-US"/>
              </w:rPr>
              <w:t>; under revision for journal publication).</w:t>
            </w:r>
          </w:p>
          <w:p w:rsidR="00236FDB" w:rsidRPr="00236FDB" w:rsidRDefault="00236FDB" w:rsidP="00236FDB">
            <w:pPr>
              <w:spacing w:after="0" w:line="240" w:lineRule="auto"/>
              <w:rPr>
                <w:rFonts w:ascii="Times New Roman" w:hAnsi="Times New Roman" w:cs="Times New Roman"/>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Gulbrandsen , M. &amp; Hildrum, J. (2015), Measuring and reporting R&amp;D and innovation costs in multiunit service firms: a new approach. Presented at the STI Indicator Conference, Lugano, under revision for journal publication.</w:t>
            </w:r>
          </w:p>
          <w:p w:rsidR="00236FDB" w:rsidRPr="00236FDB" w:rsidRDefault="00236FDB" w:rsidP="00236FDB">
            <w:pPr>
              <w:spacing w:after="0" w:line="240" w:lineRule="auto"/>
              <w:rPr>
                <w:rFonts w:ascii="Times New Roman" w:hAnsi="Times New Roman" w:cs="Times New Roman"/>
                <w:lang w:val="en-US"/>
              </w:rPr>
            </w:pPr>
          </w:p>
        </w:tc>
      </w:tr>
      <w:tr w:rsidR="00236FDB" w:rsidRPr="00236FDB" w:rsidTr="00902DB0">
        <w:tc>
          <w:tcPr>
            <w:tcW w:w="9212" w:type="dxa"/>
          </w:tcPr>
          <w:p w:rsid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b/>
                <w:lang w:val="en-US"/>
              </w:rPr>
            </w:pPr>
            <w:r w:rsidRPr="00236FDB">
              <w:rPr>
                <w:rFonts w:ascii="Times New Roman" w:hAnsi="Times New Roman" w:cs="Times New Roman"/>
                <w:b/>
                <w:lang w:val="en-US"/>
              </w:rPr>
              <w:t xml:space="preserve">References to sources to corroborate the claims made about the impact: </w:t>
            </w:r>
          </w:p>
          <w:p w:rsidR="00236FDB" w:rsidRDefault="00236FDB" w:rsidP="00236FDB">
            <w:pPr>
              <w:spacing w:after="0" w:line="240" w:lineRule="auto"/>
              <w:rPr>
                <w:rFonts w:ascii="Times New Roman" w:hAnsi="Times New Roman" w:cs="Times New Roman"/>
                <w:b/>
                <w:lang w:val="en-US"/>
              </w:rPr>
            </w:pPr>
          </w:p>
          <w:p w:rsidR="00236FDB" w:rsidRPr="00236FDB" w:rsidRDefault="00310BC9" w:rsidP="00236FDB">
            <w:pPr>
              <w:spacing w:after="0" w:line="240" w:lineRule="auto"/>
              <w:rPr>
                <w:rFonts w:ascii="Times New Roman" w:hAnsi="Times New Roman" w:cs="Times New Roman"/>
                <w:lang w:val="en-US"/>
              </w:rPr>
            </w:pPr>
            <w:hyperlink r:id="rId22" w:history="1">
              <w:r w:rsidR="00236FDB" w:rsidRPr="00236FDB">
                <w:rPr>
                  <w:rStyle w:val="Hyperlink"/>
                  <w:rFonts w:ascii="Times New Roman" w:hAnsi="Times New Roman" w:cs="Times New Roman"/>
                  <w:lang w:val="en-US"/>
                </w:rPr>
                <w:t>http://www.sv.uio.no/tik/om/aktuelt/aktuelle-saker/2012/undervurderer-nyskapningen.html</w:t>
              </w:r>
            </w:hyperlink>
            <w:r w:rsidR="00236FDB" w:rsidRPr="00236FDB">
              <w:rPr>
                <w:rFonts w:ascii="Times New Roman" w:hAnsi="Times New Roman" w:cs="Times New Roman"/>
                <w:lang w:val="en-US"/>
              </w:rPr>
              <w:t xml:space="preserve"> </w:t>
            </w:r>
          </w:p>
          <w:p w:rsidR="00236FDB" w:rsidRPr="00236FDB" w:rsidRDefault="00310BC9" w:rsidP="00236FDB">
            <w:pPr>
              <w:spacing w:after="0" w:line="240" w:lineRule="auto"/>
              <w:rPr>
                <w:rFonts w:ascii="Times New Roman" w:hAnsi="Times New Roman" w:cs="Times New Roman"/>
                <w:lang w:val="en-US"/>
              </w:rPr>
            </w:pPr>
            <w:hyperlink r:id="rId23" w:history="1">
              <w:r w:rsidR="00236FDB" w:rsidRPr="00236FDB">
                <w:rPr>
                  <w:rStyle w:val="Hyperlink"/>
                  <w:rFonts w:ascii="Times New Roman" w:hAnsi="Times New Roman" w:cs="Times New Roman"/>
                  <w:lang w:val="en-US"/>
                </w:rPr>
                <w:t>http://www.innovasjonnorge.no/no/Nyheter/--innovasjon-kan-ikke-outsources/</w:t>
              </w:r>
            </w:hyperlink>
            <w:r w:rsidR="00236FDB" w:rsidRPr="00236FDB">
              <w:rPr>
                <w:rFonts w:ascii="Times New Roman" w:hAnsi="Times New Roman" w:cs="Times New Roman"/>
                <w:lang w:val="en-US"/>
              </w:rPr>
              <w:t xml:space="preserve"> </w:t>
            </w: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There is also a Telenor internal report on the measurement approach.</w:t>
            </w:r>
          </w:p>
          <w:p w:rsidR="00236FDB" w:rsidRPr="00236FDB" w:rsidRDefault="00236FDB" w:rsidP="00236FDB">
            <w:pPr>
              <w:spacing w:after="0" w:line="240" w:lineRule="auto"/>
              <w:rPr>
                <w:rFonts w:ascii="Times New Roman" w:hAnsi="Times New Roman" w:cs="Times New Roman"/>
                <w:lang w:val="en-US"/>
              </w:rPr>
            </w:pPr>
          </w:p>
        </w:tc>
      </w:tr>
      <w:tr w:rsidR="00236FDB" w:rsidRPr="00236FDB" w:rsidTr="00902DB0">
        <w:tc>
          <w:tcPr>
            <w:tcW w:w="9212" w:type="dxa"/>
          </w:tcPr>
          <w:p w:rsidR="00236FDB" w:rsidRDefault="00236FDB" w:rsidP="00236FDB">
            <w:pPr>
              <w:spacing w:after="0" w:line="240" w:lineRule="auto"/>
              <w:rPr>
                <w:rFonts w:ascii="Times New Roman" w:hAnsi="Times New Roman" w:cs="Times New Roman"/>
                <w:b/>
                <w:lang w:val="en-US"/>
              </w:rPr>
            </w:pPr>
            <w:r w:rsidRPr="00236FDB">
              <w:rPr>
                <w:rFonts w:ascii="Times New Roman" w:hAnsi="Times New Roman" w:cs="Times New Roman"/>
                <w:b/>
                <w:lang w:val="en-US"/>
              </w:rPr>
              <w:t xml:space="preserve">If relevant: External references (external users or others who have witnessed the impact and could be contacted to corroborate the claims made in the reported research cases): </w:t>
            </w:r>
          </w:p>
          <w:p w:rsidR="00236FDB" w:rsidRPr="00236FDB" w:rsidRDefault="00236FDB" w:rsidP="00236FDB">
            <w:pPr>
              <w:spacing w:after="0" w:line="240" w:lineRule="auto"/>
              <w:rPr>
                <w:rFonts w:ascii="Times New Roman" w:hAnsi="Times New Roman" w:cs="Times New Roman"/>
                <w:b/>
                <w:lang w:val="en-US"/>
              </w:rPr>
            </w:pPr>
          </w:p>
          <w:p w:rsidR="00236FDB" w:rsidRDefault="00236FDB" w:rsidP="00236FDB">
            <w:pPr>
              <w:spacing w:after="0" w:line="240" w:lineRule="auto"/>
              <w:rPr>
                <w:rFonts w:ascii="Times New Roman" w:hAnsi="Times New Roman" w:cs="Times New Roman"/>
                <w:lang w:val="en-US"/>
              </w:rPr>
            </w:pPr>
            <w:r w:rsidRPr="00236FDB">
              <w:rPr>
                <w:rFonts w:ascii="Times New Roman" w:hAnsi="Times New Roman" w:cs="Times New Roman"/>
                <w:lang w:val="en-US"/>
              </w:rPr>
              <w:t>Jarle Hildrum, Vice President, Telenor Research (and others in Telenor)</w:t>
            </w:r>
            <w:r>
              <w:rPr>
                <w:rFonts w:ascii="Times New Roman" w:hAnsi="Times New Roman" w:cs="Times New Roman"/>
                <w:lang w:val="en-US"/>
              </w:rPr>
              <w:t>.</w:t>
            </w:r>
          </w:p>
          <w:p w:rsidR="00236FDB" w:rsidRPr="00236FDB" w:rsidRDefault="00236FDB" w:rsidP="00236FDB">
            <w:pPr>
              <w:spacing w:after="0" w:line="240" w:lineRule="auto"/>
              <w:rPr>
                <w:rFonts w:ascii="Times New Roman" w:hAnsi="Times New Roman" w:cs="Times New Roman"/>
                <w:lang w:val="en-US"/>
              </w:rPr>
            </w:pPr>
          </w:p>
        </w:tc>
      </w:tr>
    </w:tbl>
    <w:p w:rsidR="00236FDB" w:rsidRPr="00236FDB" w:rsidRDefault="00236FDB" w:rsidP="00236FDB">
      <w:pPr>
        <w:spacing w:after="0" w:line="240" w:lineRule="auto"/>
        <w:rPr>
          <w:rFonts w:ascii="Times New Roman" w:hAnsi="Times New Roman" w:cs="Times New Roman"/>
        </w:rPr>
      </w:pPr>
    </w:p>
    <w:p w:rsidR="00236FDB" w:rsidRPr="00236FDB" w:rsidRDefault="00236FDB" w:rsidP="00236FDB">
      <w:pPr>
        <w:spacing w:after="0" w:line="240" w:lineRule="auto"/>
        <w:contextualSpacing/>
        <w:jc w:val="both"/>
        <w:rPr>
          <w:rFonts w:ascii="Times New Roman" w:eastAsia="Calibri" w:hAnsi="Times New Roman" w:cs="Times New Roman"/>
          <w:sz w:val="24"/>
          <w:szCs w:val="24"/>
          <w:lang w:eastAsia="en-US"/>
        </w:rPr>
      </w:pPr>
    </w:p>
    <w:p w:rsidR="00236FDB" w:rsidRDefault="00236FDB" w:rsidP="00236FDB">
      <w:pPr>
        <w:spacing w:after="0" w:line="240" w:lineRule="auto"/>
        <w:contextualSpacing/>
        <w:jc w:val="both"/>
        <w:rPr>
          <w:rFonts w:ascii="Times New Roman" w:eastAsia="Calibri" w:hAnsi="Times New Roman" w:cs="Times New Roman"/>
          <w:sz w:val="24"/>
          <w:szCs w:val="24"/>
          <w:lang w:val="en-GB" w:eastAsia="en-US"/>
        </w:rPr>
      </w:pPr>
    </w:p>
    <w:p w:rsidR="00236FDB" w:rsidRDefault="00236FDB" w:rsidP="00236FDB">
      <w:pPr>
        <w:spacing w:after="0" w:line="240" w:lineRule="auto"/>
        <w:contextualSpacing/>
        <w:jc w:val="both"/>
        <w:rPr>
          <w:rFonts w:ascii="Times New Roman" w:eastAsia="Calibri" w:hAnsi="Times New Roman" w:cs="Times New Roman"/>
          <w:sz w:val="24"/>
          <w:szCs w:val="24"/>
          <w:lang w:val="en-GB" w:eastAsia="en-US"/>
        </w:rPr>
      </w:pPr>
    </w:p>
    <w:p w:rsidR="00236FDB" w:rsidRDefault="00236FDB" w:rsidP="00236FDB">
      <w:pPr>
        <w:spacing w:after="0" w:line="240" w:lineRule="auto"/>
        <w:contextualSpacing/>
        <w:jc w:val="both"/>
        <w:rPr>
          <w:rFonts w:ascii="Times New Roman" w:eastAsia="Calibri" w:hAnsi="Times New Roman" w:cs="Times New Roman"/>
          <w:sz w:val="24"/>
          <w:szCs w:val="24"/>
          <w:lang w:val="en-GB" w:eastAsia="en-US"/>
        </w:rPr>
      </w:pPr>
    </w:p>
    <w:p w:rsidR="00236FDB" w:rsidRDefault="00236FDB" w:rsidP="00236FDB">
      <w:pPr>
        <w:spacing w:after="0" w:line="240" w:lineRule="auto"/>
        <w:contextualSpacing/>
        <w:jc w:val="both"/>
        <w:rPr>
          <w:rFonts w:ascii="Times New Roman" w:eastAsia="Calibri" w:hAnsi="Times New Roman" w:cs="Times New Roman"/>
          <w:sz w:val="24"/>
          <w:szCs w:val="24"/>
          <w:lang w:val="en-GB" w:eastAsia="en-US"/>
        </w:rPr>
      </w:pPr>
    </w:p>
    <w:p w:rsidR="00236FDB" w:rsidRPr="007102FE" w:rsidRDefault="00236FDB" w:rsidP="00236FDB">
      <w:pPr>
        <w:spacing w:after="0" w:line="240" w:lineRule="auto"/>
        <w:contextualSpacing/>
        <w:jc w:val="both"/>
        <w:rPr>
          <w:rFonts w:ascii="Times New Roman" w:eastAsia="Calibri" w:hAnsi="Times New Roman" w:cs="Times New Roman"/>
          <w:sz w:val="24"/>
          <w:szCs w:val="24"/>
          <w:lang w:val="en-GB" w:eastAsia="en-US"/>
        </w:rPr>
      </w:pPr>
    </w:p>
    <w:p w:rsidR="007102FE" w:rsidRPr="007102FE" w:rsidRDefault="007102FE" w:rsidP="007102FE">
      <w:pPr>
        <w:spacing w:after="0" w:line="240" w:lineRule="auto"/>
        <w:jc w:val="both"/>
        <w:rPr>
          <w:rFonts w:ascii="Times New Roman" w:hAnsi="Times New Roman" w:cs="Times New Roman"/>
        </w:rPr>
      </w:pPr>
    </w:p>
    <w:sectPr w:rsidR="007102FE" w:rsidRPr="007102FE">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B0" w:rsidRDefault="00902DB0" w:rsidP="007102FE">
      <w:pPr>
        <w:spacing w:after="0" w:line="240" w:lineRule="auto"/>
      </w:pPr>
      <w:r>
        <w:separator/>
      </w:r>
    </w:p>
  </w:endnote>
  <w:endnote w:type="continuationSeparator" w:id="0">
    <w:p w:rsidR="00902DB0" w:rsidRDefault="00902DB0" w:rsidP="0071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48739"/>
      <w:docPartObj>
        <w:docPartGallery w:val="Page Numbers (Bottom of Page)"/>
        <w:docPartUnique/>
      </w:docPartObj>
    </w:sdtPr>
    <w:sdtEndPr>
      <w:rPr>
        <w:noProof/>
      </w:rPr>
    </w:sdtEndPr>
    <w:sdtContent>
      <w:p w:rsidR="00902DB0" w:rsidRDefault="00902DB0">
        <w:pPr>
          <w:pStyle w:val="Footer"/>
          <w:jc w:val="center"/>
        </w:pPr>
        <w:r>
          <w:fldChar w:fldCharType="begin"/>
        </w:r>
        <w:r>
          <w:instrText xml:space="preserve"> PAGE   \* MERGEFORMAT </w:instrText>
        </w:r>
        <w:r>
          <w:fldChar w:fldCharType="separate"/>
        </w:r>
        <w:r w:rsidR="00310BC9">
          <w:rPr>
            <w:noProof/>
          </w:rPr>
          <w:t>1</w:t>
        </w:r>
        <w:r>
          <w:rPr>
            <w:noProof/>
          </w:rPr>
          <w:fldChar w:fldCharType="end"/>
        </w:r>
      </w:p>
    </w:sdtContent>
  </w:sdt>
  <w:p w:rsidR="00902DB0" w:rsidRDefault="0090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B0" w:rsidRDefault="00902DB0" w:rsidP="007102FE">
      <w:pPr>
        <w:spacing w:after="0" w:line="240" w:lineRule="auto"/>
      </w:pPr>
      <w:r>
        <w:separator/>
      </w:r>
    </w:p>
  </w:footnote>
  <w:footnote w:type="continuationSeparator" w:id="0">
    <w:p w:rsidR="00902DB0" w:rsidRDefault="00902DB0" w:rsidP="0071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145"/>
    <w:multiLevelType w:val="hybridMultilevel"/>
    <w:tmpl w:val="EBD83E90"/>
    <w:lvl w:ilvl="0" w:tplc="9DEC1304">
      <w:start w:val="1"/>
      <w:numFmt w:val="lowerLetter"/>
      <w:lvlText w:val="%1."/>
      <w:lvlJc w:val="left"/>
      <w:pPr>
        <w:ind w:left="360" w:hanging="360"/>
      </w:pPr>
      <w:rPr>
        <w:rFonts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866413F"/>
    <w:multiLevelType w:val="hybridMultilevel"/>
    <w:tmpl w:val="B9323B26"/>
    <w:lvl w:ilvl="0" w:tplc="3EE2C54E">
      <w:numFmt w:val="bullet"/>
      <w:lvlText w:val=""/>
      <w:lvlJc w:val="left"/>
      <w:pPr>
        <w:ind w:left="360" w:hanging="360"/>
      </w:pPr>
      <w:rPr>
        <w:rFonts w:ascii="Symbol" w:eastAsiaTheme="minorHAnsi" w:hAnsi="Symbol"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8825B40"/>
    <w:multiLevelType w:val="hybridMultilevel"/>
    <w:tmpl w:val="BFEEA5DA"/>
    <w:lvl w:ilvl="0" w:tplc="B6708910">
      <w:numFmt w:val="bullet"/>
      <w:lvlText w:val=""/>
      <w:lvlJc w:val="left"/>
      <w:pPr>
        <w:ind w:left="720" w:hanging="360"/>
      </w:pPr>
      <w:rPr>
        <w:rFonts w:ascii="Wingdings" w:eastAsia="Times New Roman" w:hAnsi="Wingding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152065"/>
    <w:multiLevelType w:val="hybridMultilevel"/>
    <w:tmpl w:val="DEFE3AD0"/>
    <w:lvl w:ilvl="0" w:tplc="04140019">
      <w:start w:val="1"/>
      <w:numFmt w:val="lowerLetter"/>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A541E6F"/>
    <w:multiLevelType w:val="hybridMultilevel"/>
    <w:tmpl w:val="6B2E311A"/>
    <w:lvl w:ilvl="0" w:tplc="04140019">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FE943F6"/>
    <w:multiLevelType w:val="hybridMultilevel"/>
    <w:tmpl w:val="FEE676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6227326"/>
    <w:multiLevelType w:val="hybridMultilevel"/>
    <w:tmpl w:val="6ACECE1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A0100D5"/>
    <w:multiLevelType w:val="multilevel"/>
    <w:tmpl w:val="33606AAE"/>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1604722"/>
    <w:multiLevelType w:val="hybridMultilevel"/>
    <w:tmpl w:val="780CC7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E110EDD"/>
    <w:multiLevelType w:val="hybridMultilevel"/>
    <w:tmpl w:val="E29E6200"/>
    <w:lvl w:ilvl="0" w:tplc="04140019">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0B70890"/>
    <w:multiLevelType w:val="hybridMultilevel"/>
    <w:tmpl w:val="610097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4A36293"/>
    <w:multiLevelType w:val="hybridMultilevel"/>
    <w:tmpl w:val="D2801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491FF0"/>
    <w:multiLevelType w:val="multilevel"/>
    <w:tmpl w:val="0502971C"/>
    <w:lvl w:ilvl="0">
      <w:start w:val="1"/>
      <w:numFmt w:val="decimal"/>
      <w:lvlText w:val="%1."/>
      <w:lvlJc w:val="left"/>
      <w:pPr>
        <w:tabs>
          <w:tab w:val="num" w:pos="360"/>
        </w:tabs>
        <w:ind w:left="360" w:hanging="360"/>
      </w:pPr>
      <w:rPr>
        <w:rFonts w:hint="default"/>
      </w:rPr>
    </w:lvl>
    <w:lvl w:ilvl="1">
      <w:start w:val="1"/>
      <w:numFmt w:val="decimal"/>
      <w:pStyle w:val="Heading2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
  </w:num>
  <w:num w:numId="3">
    <w:abstractNumId w:val="9"/>
  </w:num>
  <w:num w:numId="4">
    <w:abstractNumId w:val="4"/>
  </w:num>
  <w:num w:numId="5">
    <w:abstractNumId w:val="0"/>
  </w:num>
  <w:num w:numId="6">
    <w:abstractNumId w:val="3"/>
  </w:num>
  <w:num w:numId="7">
    <w:abstractNumId w:val="7"/>
  </w:num>
  <w:num w:numId="8">
    <w:abstractNumId w:val="6"/>
  </w:num>
  <w:num w:numId="9">
    <w:abstractNumId w:val="2"/>
  </w:num>
  <w:num w:numId="10">
    <w:abstractNumId w:val="11"/>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C"/>
    <w:rsid w:val="00000ED6"/>
    <w:rsid w:val="000027BF"/>
    <w:rsid w:val="0000337C"/>
    <w:rsid w:val="000135F7"/>
    <w:rsid w:val="0002410B"/>
    <w:rsid w:val="00030843"/>
    <w:rsid w:val="00030E7B"/>
    <w:rsid w:val="00044B52"/>
    <w:rsid w:val="00072C9D"/>
    <w:rsid w:val="0008038A"/>
    <w:rsid w:val="000A0345"/>
    <w:rsid w:val="000C51ED"/>
    <w:rsid w:val="000D053C"/>
    <w:rsid w:val="000D3F8B"/>
    <w:rsid w:val="00105598"/>
    <w:rsid w:val="001122D0"/>
    <w:rsid w:val="00127C65"/>
    <w:rsid w:val="00133F53"/>
    <w:rsid w:val="00137A82"/>
    <w:rsid w:val="001567A2"/>
    <w:rsid w:val="00163925"/>
    <w:rsid w:val="00180A0B"/>
    <w:rsid w:val="001B010C"/>
    <w:rsid w:val="001C05A7"/>
    <w:rsid w:val="001C1EB0"/>
    <w:rsid w:val="002079F6"/>
    <w:rsid w:val="00226645"/>
    <w:rsid w:val="002345C0"/>
    <w:rsid w:val="00236FDB"/>
    <w:rsid w:val="002556FC"/>
    <w:rsid w:val="002662EC"/>
    <w:rsid w:val="002701F2"/>
    <w:rsid w:val="00272F5D"/>
    <w:rsid w:val="002C1605"/>
    <w:rsid w:val="002D5111"/>
    <w:rsid w:val="002D7ACF"/>
    <w:rsid w:val="002E72AA"/>
    <w:rsid w:val="002F480E"/>
    <w:rsid w:val="00301030"/>
    <w:rsid w:val="00310BC9"/>
    <w:rsid w:val="00313C7E"/>
    <w:rsid w:val="00313E14"/>
    <w:rsid w:val="00340410"/>
    <w:rsid w:val="00367A56"/>
    <w:rsid w:val="003B3316"/>
    <w:rsid w:val="003D40A3"/>
    <w:rsid w:val="003D492C"/>
    <w:rsid w:val="003F3951"/>
    <w:rsid w:val="00404314"/>
    <w:rsid w:val="004114DD"/>
    <w:rsid w:val="00413855"/>
    <w:rsid w:val="004243EC"/>
    <w:rsid w:val="00425836"/>
    <w:rsid w:val="00456BF9"/>
    <w:rsid w:val="004824B6"/>
    <w:rsid w:val="004B77E0"/>
    <w:rsid w:val="004C13EA"/>
    <w:rsid w:val="004C74CB"/>
    <w:rsid w:val="004E11B1"/>
    <w:rsid w:val="004E5458"/>
    <w:rsid w:val="005100C3"/>
    <w:rsid w:val="00515627"/>
    <w:rsid w:val="00524191"/>
    <w:rsid w:val="005267D5"/>
    <w:rsid w:val="00540A6F"/>
    <w:rsid w:val="00553AC6"/>
    <w:rsid w:val="00553B7E"/>
    <w:rsid w:val="0055405E"/>
    <w:rsid w:val="00556C57"/>
    <w:rsid w:val="005614E7"/>
    <w:rsid w:val="00563537"/>
    <w:rsid w:val="005839D6"/>
    <w:rsid w:val="005A0258"/>
    <w:rsid w:val="005E655A"/>
    <w:rsid w:val="0060308D"/>
    <w:rsid w:val="0060579A"/>
    <w:rsid w:val="00611264"/>
    <w:rsid w:val="00613778"/>
    <w:rsid w:val="00620822"/>
    <w:rsid w:val="00635831"/>
    <w:rsid w:val="00641E21"/>
    <w:rsid w:val="00643A72"/>
    <w:rsid w:val="006542C7"/>
    <w:rsid w:val="00655AE4"/>
    <w:rsid w:val="006731FD"/>
    <w:rsid w:val="00676A25"/>
    <w:rsid w:val="006841FF"/>
    <w:rsid w:val="006A177C"/>
    <w:rsid w:val="006C6B62"/>
    <w:rsid w:val="006D54CF"/>
    <w:rsid w:val="007102FE"/>
    <w:rsid w:val="007467AE"/>
    <w:rsid w:val="007533D4"/>
    <w:rsid w:val="007835B5"/>
    <w:rsid w:val="0079412F"/>
    <w:rsid w:val="007B25A4"/>
    <w:rsid w:val="007C2AB9"/>
    <w:rsid w:val="007E2BF8"/>
    <w:rsid w:val="007F04DE"/>
    <w:rsid w:val="00802A3D"/>
    <w:rsid w:val="00817E92"/>
    <w:rsid w:val="00823E79"/>
    <w:rsid w:val="00855965"/>
    <w:rsid w:val="00866F6C"/>
    <w:rsid w:val="00875D8C"/>
    <w:rsid w:val="00896B33"/>
    <w:rsid w:val="008A3034"/>
    <w:rsid w:val="008C16B0"/>
    <w:rsid w:val="009005D6"/>
    <w:rsid w:val="00901DC1"/>
    <w:rsid w:val="00902DB0"/>
    <w:rsid w:val="00910B22"/>
    <w:rsid w:val="00921836"/>
    <w:rsid w:val="0094078D"/>
    <w:rsid w:val="00950467"/>
    <w:rsid w:val="00964C01"/>
    <w:rsid w:val="00972CD0"/>
    <w:rsid w:val="009B156D"/>
    <w:rsid w:val="009B5C46"/>
    <w:rsid w:val="00A008FE"/>
    <w:rsid w:val="00A10005"/>
    <w:rsid w:val="00A664E8"/>
    <w:rsid w:val="00A77415"/>
    <w:rsid w:val="00A96AAD"/>
    <w:rsid w:val="00AD072D"/>
    <w:rsid w:val="00AE44AD"/>
    <w:rsid w:val="00AF755C"/>
    <w:rsid w:val="00B067FD"/>
    <w:rsid w:val="00B12331"/>
    <w:rsid w:val="00B34FF1"/>
    <w:rsid w:val="00B37C2C"/>
    <w:rsid w:val="00B44079"/>
    <w:rsid w:val="00B50915"/>
    <w:rsid w:val="00B524F1"/>
    <w:rsid w:val="00B724E6"/>
    <w:rsid w:val="00BB5931"/>
    <w:rsid w:val="00C07A12"/>
    <w:rsid w:val="00C1502E"/>
    <w:rsid w:val="00C35768"/>
    <w:rsid w:val="00C47ED4"/>
    <w:rsid w:val="00C51506"/>
    <w:rsid w:val="00C748AD"/>
    <w:rsid w:val="00C85EB3"/>
    <w:rsid w:val="00CC1985"/>
    <w:rsid w:val="00CD5BAE"/>
    <w:rsid w:val="00CE7564"/>
    <w:rsid w:val="00CF7207"/>
    <w:rsid w:val="00D05717"/>
    <w:rsid w:val="00D34EC3"/>
    <w:rsid w:val="00D430DA"/>
    <w:rsid w:val="00D65EEA"/>
    <w:rsid w:val="00D96A0E"/>
    <w:rsid w:val="00D971AF"/>
    <w:rsid w:val="00D97309"/>
    <w:rsid w:val="00E157E8"/>
    <w:rsid w:val="00E16C8B"/>
    <w:rsid w:val="00E23D62"/>
    <w:rsid w:val="00E45DDA"/>
    <w:rsid w:val="00E47139"/>
    <w:rsid w:val="00E47DC3"/>
    <w:rsid w:val="00E626A4"/>
    <w:rsid w:val="00E8145A"/>
    <w:rsid w:val="00E94760"/>
    <w:rsid w:val="00ED57A8"/>
    <w:rsid w:val="00F05C5C"/>
    <w:rsid w:val="00F061B2"/>
    <w:rsid w:val="00F2720C"/>
    <w:rsid w:val="00F326CA"/>
    <w:rsid w:val="00F37B85"/>
    <w:rsid w:val="00F738B7"/>
    <w:rsid w:val="00FB0A75"/>
    <w:rsid w:val="00FD134D"/>
    <w:rsid w:val="00FE6254"/>
    <w:rsid w:val="00FF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D88F-2133-4E11-96F3-DC483DE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B"/>
    <w:pPr>
      <w:keepNext/>
      <w:keepLines/>
      <w:spacing w:before="200" w:after="0" w:line="240" w:lineRule="auto"/>
      <w:outlineLvl w:val="1"/>
    </w:pPr>
    <w:rPr>
      <w:rFonts w:ascii="Times New Roman" w:eastAsiaTheme="majorEastAsia" w:hAnsi="Times New Roman" w:cstheme="majorBidi"/>
      <w:b/>
      <w:bCs/>
      <w:sz w:val="36"/>
      <w:szCs w:val="26"/>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iPriority w:val="9"/>
    <w:unhideWhenUsed/>
    <w:qFormat/>
    <w:rsid w:val="007102FE"/>
    <w:pPr>
      <w:keepNext/>
      <w:keepLines/>
      <w:numPr>
        <w:ilvl w:val="1"/>
        <w:numId w:val="1"/>
      </w:numPr>
      <w:spacing w:before="200" w:after="0"/>
      <w:ind w:left="0" w:firstLine="0"/>
      <w:outlineLvl w:val="1"/>
    </w:pPr>
    <w:rPr>
      <w:rFonts w:ascii="Cambria" w:eastAsia="SimSun" w:hAnsi="Cambria" w:cs="Times New Roman"/>
      <w:b/>
      <w:bCs/>
      <w:sz w:val="24"/>
      <w:szCs w:val="24"/>
      <w:lang w:val="en-GB" w:eastAsia="en-US"/>
    </w:rPr>
  </w:style>
  <w:style w:type="paragraph" w:styleId="Header">
    <w:name w:val="header"/>
    <w:basedOn w:val="Normal"/>
    <w:link w:val="HeaderChar"/>
    <w:uiPriority w:val="99"/>
    <w:unhideWhenUsed/>
    <w:rsid w:val="00710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2FE"/>
  </w:style>
  <w:style w:type="paragraph" w:styleId="Footer">
    <w:name w:val="footer"/>
    <w:basedOn w:val="Normal"/>
    <w:link w:val="FooterChar"/>
    <w:uiPriority w:val="99"/>
    <w:unhideWhenUsed/>
    <w:rsid w:val="00710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2FE"/>
  </w:style>
  <w:style w:type="paragraph" w:styleId="ListParagraph">
    <w:name w:val="List Paragraph"/>
    <w:basedOn w:val="Normal"/>
    <w:uiPriority w:val="34"/>
    <w:qFormat/>
    <w:rsid w:val="00180A0B"/>
    <w:pPr>
      <w:ind w:left="720"/>
      <w:contextualSpacing/>
    </w:pPr>
  </w:style>
  <w:style w:type="table" w:styleId="TableGrid">
    <w:name w:val="Table Grid"/>
    <w:basedOn w:val="TableNormal"/>
    <w:uiPriority w:val="59"/>
    <w:rsid w:val="00272F5D"/>
    <w:rPr>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72F5D"/>
    <w:pPr>
      <w:spacing w:after="0" w:line="240" w:lineRule="auto"/>
    </w:pPr>
    <w:rPr>
      <w:rFonts w:ascii="Times New Roman" w:hAnsi="Times New Roman" w:cs="Times New Roman"/>
      <w:sz w:val="20"/>
      <w:szCs w:val="20"/>
      <w:lang w:val="en-GB" w:eastAsia="nb-NO"/>
    </w:rPr>
  </w:style>
  <w:style w:type="character" w:customStyle="1" w:styleId="FootnoteTextChar">
    <w:name w:val="Footnote Text Char"/>
    <w:basedOn w:val="DefaultParagraphFont"/>
    <w:link w:val="FootnoteText"/>
    <w:uiPriority w:val="99"/>
    <w:rsid w:val="00272F5D"/>
    <w:rPr>
      <w:rFonts w:ascii="Times New Roman" w:hAnsi="Times New Roman" w:cs="Times New Roman"/>
      <w:sz w:val="20"/>
      <w:szCs w:val="20"/>
      <w:lang w:val="en-GB" w:eastAsia="nb-NO"/>
    </w:rPr>
  </w:style>
  <w:style w:type="character" w:styleId="FootnoteReference">
    <w:name w:val="footnote reference"/>
    <w:basedOn w:val="DefaultParagraphFont"/>
    <w:uiPriority w:val="99"/>
    <w:rsid w:val="00272F5D"/>
    <w:rPr>
      <w:vertAlign w:val="superscript"/>
    </w:rPr>
  </w:style>
  <w:style w:type="character" w:styleId="Hyperlink">
    <w:name w:val="Hyperlink"/>
    <w:basedOn w:val="DefaultParagraphFont"/>
    <w:uiPriority w:val="99"/>
    <w:unhideWhenUsed/>
    <w:rsid w:val="00950467"/>
    <w:rPr>
      <w:color w:val="0000FF" w:themeColor="hyperlink"/>
      <w:u w:val="single"/>
    </w:rPr>
  </w:style>
  <w:style w:type="character" w:styleId="FollowedHyperlink">
    <w:name w:val="FollowedHyperlink"/>
    <w:basedOn w:val="DefaultParagraphFont"/>
    <w:uiPriority w:val="99"/>
    <w:semiHidden/>
    <w:unhideWhenUsed/>
    <w:rsid w:val="002D5111"/>
    <w:rPr>
      <w:color w:val="800080" w:themeColor="followedHyperlink"/>
      <w:u w:val="single"/>
    </w:rPr>
  </w:style>
  <w:style w:type="character" w:customStyle="1" w:styleId="Heading2Char">
    <w:name w:val="Heading 2 Char"/>
    <w:basedOn w:val="DefaultParagraphFont"/>
    <w:link w:val="Heading2"/>
    <w:uiPriority w:val="9"/>
    <w:rsid w:val="00236FDB"/>
    <w:rPr>
      <w:rFonts w:ascii="Times New Roman" w:eastAsiaTheme="majorEastAsia" w:hAnsi="Times New Roman" w:cstheme="majorBidi"/>
      <w:b/>
      <w:bCs/>
      <w:sz w:val="36"/>
      <w:szCs w:val="26"/>
      <w:lang w:val="en-GB" w:eastAsia="nb-NO"/>
    </w:rPr>
  </w:style>
  <w:style w:type="paragraph" w:styleId="PlainText">
    <w:name w:val="Plain Text"/>
    <w:basedOn w:val="Normal"/>
    <w:link w:val="PlainTextChar"/>
    <w:uiPriority w:val="99"/>
    <w:semiHidden/>
    <w:unhideWhenUsed/>
    <w:rsid w:val="004B77E0"/>
    <w:pPr>
      <w:spacing w:after="0" w:line="240" w:lineRule="auto"/>
    </w:pPr>
    <w:rPr>
      <w:rFonts w:ascii="Calibri" w:eastAsiaTheme="minorHAnsi" w:hAnsi="Calibri"/>
      <w:szCs w:val="21"/>
      <w:lang w:val="nb-NO" w:eastAsia="en-US"/>
    </w:rPr>
  </w:style>
  <w:style w:type="character" w:customStyle="1" w:styleId="PlainTextChar">
    <w:name w:val="Plain Text Char"/>
    <w:basedOn w:val="DefaultParagraphFont"/>
    <w:link w:val="PlainText"/>
    <w:uiPriority w:val="99"/>
    <w:semiHidden/>
    <w:rsid w:val="004B77E0"/>
    <w:rPr>
      <w:rFonts w:ascii="Calibri" w:eastAsiaTheme="minorHAnsi" w:hAnsi="Calibri"/>
      <w:szCs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41894">
      <w:bodyDiv w:val="1"/>
      <w:marLeft w:val="0"/>
      <w:marRight w:val="0"/>
      <w:marTop w:val="0"/>
      <w:marBottom w:val="0"/>
      <w:divBdr>
        <w:top w:val="none" w:sz="0" w:space="0" w:color="auto"/>
        <w:left w:val="none" w:sz="0" w:space="0" w:color="auto"/>
        <w:bottom w:val="none" w:sz="0" w:space="0" w:color="auto"/>
        <w:right w:val="none" w:sz="0" w:space="0" w:color="auto"/>
      </w:divBdr>
    </w:div>
    <w:div w:id="488402492">
      <w:bodyDiv w:val="1"/>
      <w:marLeft w:val="0"/>
      <w:marRight w:val="0"/>
      <w:marTop w:val="0"/>
      <w:marBottom w:val="0"/>
      <w:divBdr>
        <w:top w:val="none" w:sz="0" w:space="0" w:color="auto"/>
        <w:left w:val="none" w:sz="0" w:space="0" w:color="auto"/>
        <w:bottom w:val="none" w:sz="0" w:space="0" w:color="auto"/>
        <w:right w:val="none" w:sz="0" w:space="0" w:color="auto"/>
      </w:divBdr>
      <w:divsChild>
        <w:div w:id="119692195">
          <w:marLeft w:val="0"/>
          <w:marRight w:val="0"/>
          <w:marTop w:val="600"/>
          <w:marBottom w:val="600"/>
          <w:divBdr>
            <w:top w:val="none" w:sz="0" w:space="0" w:color="auto"/>
            <w:left w:val="none" w:sz="0" w:space="0" w:color="auto"/>
            <w:bottom w:val="none" w:sz="0" w:space="0" w:color="auto"/>
            <w:right w:val="none" w:sz="0" w:space="0" w:color="auto"/>
          </w:divBdr>
          <w:divsChild>
            <w:div w:id="1252202187">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uio.no/english/research/phd/" TargetMode="External"/><Relationship Id="rId13" Type="http://schemas.openxmlformats.org/officeDocument/2006/relationships/hyperlink" Target="http://dx.doi.org/10.1016/j.respol.2012.03.014" TargetMode="External"/><Relationship Id="rId18" Type="http://schemas.openxmlformats.org/officeDocument/2006/relationships/hyperlink" Target="http://dx.doi.org/10.1016/j.respol.2016.03.0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deas.repec.org/p/tik/inowpp/20160321.html" TargetMode="External"/><Relationship Id="rId7" Type="http://schemas.openxmlformats.org/officeDocument/2006/relationships/endnotes" Target="endnotes.xml"/><Relationship Id="rId12" Type="http://schemas.openxmlformats.org/officeDocument/2006/relationships/hyperlink" Target="https://global.oup.com/academic/product/innovation-path-dependency-and-policy-9780199688470?q=fagerberg&amp;lang=en&amp;cc=it" TargetMode="External"/><Relationship Id="rId17" Type="http://schemas.openxmlformats.org/officeDocument/2006/relationships/hyperlink" Target="http://dx.doi.org/10.1111/padm.121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07/s10734-015-9861-2" TargetMode="External"/><Relationship Id="rId20" Type="http://schemas.openxmlformats.org/officeDocument/2006/relationships/hyperlink" Target="https://www.regjeringen.no/en/topics/research/innsiktsartikler/langtidsplan-for-forsking-og-hogare-utdanning/id2353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respol.2008.12.00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worlddev.2014.12.014" TargetMode="External"/><Relationship Id="rId23" Type="http://schemas.openxmlformats.org/officeDocument/2006/relationships/hyperlink" Target="http://www.innovasjonnorge.no/no/Nyheter/--innovasjon-kan-ikke-outsources/" TargetMode="External"/><Relationship Id="rId10" Type="http://schemas.openxmlformats.org/officeDocument/2006/relationships/hyperlink" Target="http://dx.doi.org/10.1016/j.respol.2008.06.003" TargetMode="External"/><Relationship Id="rId19" Type="http://schemas.openxmlformats.org/officeDocument/2006/relationships/hyperlink" Target="http://www.uio.no/studier/program/tik-master/oppbygging/" TargetMode="External"/><Relationship Id="rId4" Type="http://schemas.openxmlformats.org/officeDocument/2006/relationships/settings" Target="settings.xml"/><Relationship Id="rId9" Type="http://schemas.openxmlformats.org/officeDocument/2006/relationships/hyperlink" Target="http://dx.doi.org/10.1016/j.respol.2008.03.011" TargetMode="External"/><Relationship Id="rId14" Type="http://schemas.openxmlformats.org/officeDocument/2006/relationships/hyperlink" Target="http://dx.doi.org/10.1016/j.respol.2012.10.006" TargetMode="External"/><Relationship Id="rId22" Type="http://schemas.openxmlformats.org/officeDocument/2006/relationships/hyperlink" Target="http://www.sv.uio.no/tik/om/aktuelt/aktuelle-saker/2012/undervurderer-nyskapnin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559C-7700-4053-82DC-8CDAB782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B98BD0BB.dotm</Template>
  <TotalTime>1</TotalTime>
  <Pages>15</Pages>
  <Words>6142</Words>
  <Characters>32558</Characters>
  <Application>Microsoft Office Word</Application>
  <DocSecurity>4</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fulvioca_adm</dc:creator>
  <cp:keywords/>
  <dc:description/>
  <cp:lastModifiedBy>Frode Løvik</cp:lastModifiedBy>
  <cp:revision>2</cp:revision>
  <dcterms:created xsi:type="dcterms:W3CDTF">2017-03-15T10:04:00Z</dcterms:created>
  <dcterms:modified xsi:type="dcterms:W3CDTF">2017-03-15T10:04:00Z</dcterms:modified>
</cp:coreProperties>
</file>