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BA" w:rsidRDefault="00FA47BA" w:rsidP="00FA47BA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Til:  </w:t>
      </w:r>
      <w:r>
        <w:rPr>
          <w:sz w:val="24"/>
        </w:rPr>
        <w:tab/>
        <w:t>Styret</w:t>
      </w:r>
    </w:p>
    <w:p w:rsidR="00FA47BA" w:rsidRDefault="00FA47BA" w:rsidP="00FA47BA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Fra: </w:t>
      </w:r>
      <w:r>
        <w:rPr>
          <w:sz w:val="24"/>
        </w:rPr>
        <w:tab/>
        <w:t>Senterleder</w:t>
      </w:r>
    </w:p>
    <w:p w:rsidR="00FA47BA" w:rsidRDefault="00FA47BA" w:rsidP="00FA47BA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Sakstype: </w:t>
      </w:r>
      <w:r>
        <w:rPr>
          <w:sz w:val="24"/>
        </w:rPr>
        <w:tab/>
        <w:t>Diskusjonssak</w:t>
      </w:r>
    </w:p>
    <w:p w:rsidR="00FA47BA" w:rsidRPr="00F94B45" w:rsidRDefault="00FA47BA" w:rsidP="00FA47BA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  <w:lang w:val="nn-NO"/>
        </w:rPr>
      </w:pPr>
      <w:r w:rsidRPr="00F94B45">
        <w:rPr>
          <w:sz w:val="24"/>
          <w:lang w:val="nn-NO"/>
        </w:rPr>
        <w:t xml:space="preserve">Saksnr: </w:t>
      </w:r>
      <w:r w:rsidRPr="00F94B45">
        <w:rPr>
          <w:sz w:val="24"/>
          <w:lang w:val="nn-NO"/>
        </w:rPr>
        <w:tab/>
        <w:t>14/2017</w:t>
      </w:r>
    </w:p>
    <w:p w:rsidR="00FA47BA" w:rsidRPr="00F94B45" w:rsidRDefault="00FA47BA" w:rsidP="00FA47BA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  <w:lang w:val="nn-NO"/>
        </w:rPr>
      </w:pPr>
      <w:r w:rsidRPr="00F94B45">
        <w:rPr>
          <w:sz w:val="24"/>
          <w:lang w:val="nn-NO"/>
        </w:rPr>
        <w:t xml:space="preserve">Møtedato: </w:t>
      </w:r>
      <w:r w:rsidRPr="00F94B45">
        <w:rPr>
          <w:sz w:val="24"/>
          <w:lang w:val="nn-NO"/>
        </w:rPr>
        <w:tab/>
        <w:t>13.6.2017</w:t>
      </w:r>
    </w:p>
    <w:p w:rsidR="00FA47BA" w:rsidRPr="00F94B45" w:rsidRDefault="00FA47BA" w:rsidP="00FA47BA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  <w:lang w:val="nn-NO"/>
        </w:rPr>
      </w:pPr>
      <w:r w:rsidRPr="00F94B45">
        <w:rPr>
          <w:sz w:val="24"/>
          <w:lang w:val="nn-NO"/>
        </w:rPr>
        <w:t xml:space="preserve">Notatdato: </w:t>
      </w:r>
      <w:r w:rsidRPr="00F94B45">
        <w:rPr>
          <w:sz w:val="24"/>
          <w:lang w:val="nn-NO"/>
        </w:rPr>
        <w:tab/>
      </w:r>
      <w:r w:rsidR="00733EAC">
        <w:rPr>
          <w:sz w:val="24"/>
          <w:lang w:val="nn-NO"/>
        </w:rPr>
        <w:t>7</w:t>
      </w:r>
      <w:r w:rsidRPr="00F94B45">
        <w:rPr>
          <w:sz w:val="24"/>
          <w:lang w:val="nn-NO"/>
        </w:rPr>
        <w:t>.6.2017</w:t>
      </w:r>
    </w:p>
    <w:p w:rsidR="00FA47BA" w:rsidRPr="00F94B45" w:rsidRDefault="00FA47BA" w:rsidP="00FA47BA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  <w:lang w:val="nn-NO"/>
        </w:rPr>
      </w:pPr>
      <w:r w:rsidRPr="00F94B45">
        <w:rPr>
          <w:sz w:val="24"/>
          <w:lang w:val="nn-NO"/>
        </w:rPr>
        <w:t xml:space="preserve">Saksbehandler: </w:t>
      </w:r>
      <w:r w:rsidRPr="00F94B45">
        <w:rPr>
          <w:sz w:val="24"/>
          <w:lang w:val="nn-NO"/>
        </w:rPr>
        <w:tab/>
        <w:t>Fredrik Emil Olsbu/Frode Løvik</w:t>
      </w:r>
    </w:p>
    <w:p w:rsidR="00FA47BA" w:rsidRPr="00FA47BA" w:rsidRDefault="0025292B" w:rsidP="00FA47BA">
      <w:pPr>
        <w:pStyle w:val="Heading1"/>
        <w:rPr>
          <w:lang w:val="nn-NO"/>
        </w:rPr>
      </w:pPr>
      <w:r w:rsidRPr="0025292B">
        <w:rPr>
          <w:lang w:val="nn-NO"/>
        </w:rPr>
        <w:t>Langtidsbudsjett for TIK – ulike scenario</w:t>
      </w:r>
      <w:bookmarkStart w:id="0" w:name="START"/>
      <w:bookmarkEnd w:id="0"/>
    </w:p>
    <w:p w:rsidR="00770B57" w:rsidRDefault="00770B57" w:rsidP="00FA47BA">
      <w:pPr>
        <w:pStyle w:val="Georgia11Italic"/>
        <w:rPr>
          <w:lang w:val="nn-NO"/>
        </w:rPr>
      </w:pPr>
    </w:p>
    <w:p w:rsidR="00856A20" w:rsidRPr="00770B57" w:rsidRDefault="0025292B" w:rsidP="00FA47BA">
      <w:pPr>
        <w:pStyle w:val="Georgia11Italic"/>
        <w:rPr>
          <w:b/>
          <w:lang w:val="nn-NO"/>
        </w:rPr>
      </w:pPr>
      <w:r w:rsidRPr="00770B57">
        <w:rPr>
          <w:b/>
          <w:lang w:val="nn-NO"/>
        </w:rPr>
        <w:t>Bakgrunn</w:t>
      </w:r>
    </w:p>
    <w:p w:rsidR="00FA47BA" w:rsidRPr="00FA47BA" w:rsidRDefault="00FA47BA" w:rsidP="00FA47BA">
      <w:pPr>
        <w:pStyle w:val="Georgia11spacing0after"/>
        <w:rPr>
          <w:lang w:val="nn-NO"/>
        </w:rPr>
      </w:pPr>
    </w:p>
    <w:p w:rsidR="00D77481" w:rsidRDefault="00D77481" w:rsidP="00A46423">
      <w:pPr>
        <w:pStyle w:val="Georgia11spacing10after"/>
        <w:rPr>
          <w:lang w:val="nn-NO"/>
        </w:rPr>
      </w:pPr>
      <w:r>
        <w:rPr>
          <w:lang w:val="nn-NO"/>
        </w:rPr>
        <w:t>Frå hausten 2017 vil TIK ha åtte seniorforskarar (førsteamanuensis og professor) i staben, sju fast tilsette og ein vikar (Druglitrø). Fire av desse er knytt til innovasjonsgruppa (Fagerberg, Gulbrandsen, Thune og Wicken), og fire er knytt til STS-gruppa (Asdal, Bauer, Delgado og Druglitrø). Fagerberg har signalisert at han vil gå av med pensjon sommaren 2018.</w:t>
      </w:r>
    </w:p>
    <w:p w:rsidR="00D77481" w:rsidRDefault="00D77481" w:rsidP="00A46423">
      <w:pPr>
        <w:pStyle w:val="Georgia11spacing10after"/>
        <w:rPr>
          <w:lang w:val="nn-NO"/>
        </w:rPr>
      </w:pPr>
      <w:r>
        <w:rPr>
          <w:lang w:val="nn-NO"/>
        </w:rPr>
        <w:t>Dei fleste av desse seniorforskarane er i dag aktivt engasjerte i eksternfinansierte prosjekt og har høgt eksternt frikjøp. Dette fører til at tida dei kan bruke til årleg pliktarbeid er sterkt redusert, noko som igjen resulterer i at TIK systematisk manglar ressursar til å gjennomføre kjerneaktivitetane sine (undervisning, rettleiing, koordinering og administrative oppgåver).</w:t>
      </w:r>
    </w:p>
    <w:p w:rsidR="0025292B" w:rsidRDefault="0025292B" w:rsidP="00A46423">
      <w:pPr>
        <w:pStyle w:val="Georgia11spacing10after"/>
        <w:rPr>
          <w:lang w:val="nn-NO"/>
        </w:rPr>
      </w:pPr>
      <w:r w:rsidRPr="0025292B">
        <w:rPr>
          <w:lang w:val="nn-NO"/>
        </w:rPr>
        <w:t>S</w:t>
      </w:r>
      <w:r>
        <w:rPr>
          <w:lang w:val="nn-NO"/>
        </w:rPr>
        <w:t>tyret i TIK har i fleire omgangar drøfta</w:t>
      </w:r>
      <w:r w:rsidRPr="0025292B">
        <w:rPr>
          <w:lang w:val="nn-NO"/>
        </w:rPr>
        <w:t xml:space="preserve"> kapasiteten til TIK i lys av </w:t>
      </w:r>
      <w:r>
        <w:rPr>
          <w:lang w:val="nn-NO"/>
        </w:rPr>
        <w:t xml:space="preserve">ei aukande mengd eksternfinansierte prosjekt ved senteret og </w:t>
      </w:r>
      <w:r w:rsidR="00C64193">
        <w:rPr>
          <w:lang w:val="nn-NO"/>
        </w:rPr>
        <w:t>ei</w:t>
      </w:r>
      <w:r>
        <w:rPr>
          <w:lang w:val="nn-NO"/>
        </w:rPr>
        <w:t xml:space="preserve"> basisløyvinga frå fakultetet </w:t>
      </w:r>
      <w:r w:rsidR="00C64193">
        <w:rPr>
          <w:lang w:val="nn-NO"/>
        </w:rPr>
        <w:t xml:space="preserve">som </w:t>
      </w:r>
      <w:r>
        <w:rPr>
          <w:lang w:val="nn-NO"/>
        </w:rPr>
        <w:t xml:space="preserve">ikkje </w:t>
      </w:r>
      <w:r w:rsidR="00C64193">
        <w:rPr>
          <w:lang w:val="nn-NO"/>
        </w:rPr>
        <w:t>har auka</w:t>
      </w:r>
      <w:r>
        <w:rPr>
          <w:lang w:val="nn-NO"/>
        </w:rPr>
        <w:t xml:space="preserve"> i takt med prisstiginga.</w:t>
      </w:r>
    </w:p>
    <w:p w:rsidR="00D77481" w:rsidRDefault="0025292B" w:rsidP="00A46423">
      <w:pPr>
        <w:pStyle w:val="Georgia11spacing10after"/>
        <w:rPr>
          <w:lang w:val="nn-NO"/>
        </w:rPr>
      </w:pPr>
      <w:r>
        <w:rPr>
          <w:lang w:val="nn-NO"/>
        </w:rPr>
        <w:t>I styremøtet i mars 2017 v</w:t>
      </w:r>
      <w:r w:rsidR="00C64193">
        <w:rPr>
          <w:lang w:val="nn-NO"/>
        </w:rPr>
        <w:t>ar</w:t>
      </w:r>
      <w:r w:rsidR="00FA47BA">
        <w:rPr>
          <w:lang w:val="nn-NO"/>
        </w:rPr>
        <w:t>t</w:t>
      </w:r>
      <w:r w:rsidR="00C64193">
        <w:rPr>
          <w:lang w:val="nn-NO"/>
        </w:rPr>
        <w:t xml:space="preserve"> administrasjonen til TIK beden</w:t>
      </w:r>
      <w:r>
        <w:rPr>
          <w:lang w:val="nn-NO"/>
        </w:rPr>
        <w:t xml:space="preserve"> om å utarbeide langtidsbudsjett som syn</w:t>
      </w:r>
      <w:r w:rsidR="00415BC1">
        <w:rPr>
          <w:lang w:val="nn-NO"/>
        </w:rPr>
        <w:t xml:space="preserve">er konsekvensane av ei utviding </w:t>
      </w:r>
      <w:r w:rsidR="00C64193">
        <w:rPr>
          <w:lang w:val="nn-NO"/>
        </w:rPr>
        <w:t xml:space="preserve">av den faste vitskaplege staben med </w:t>
      </w:r>
      <w:r w:rsidR="00D77481">
        <w:rPr>
          <w:lang w:val="nn-NO"/>
        </w:rPr>
        <w:t xml:space="preserve">ein eller </w:t>
      </w:r>
      <w:r w:rsidR="00C64193">
        <w:rPr>
          <w:lang w:val="nn-NO"/>
        </w:rPr>
        <w:t>to stillingar</w:t>
      </w:r>
      <w:r w:rsidR="00FA47BA">
        <w:rPr>
          <w:lang w:val="nn-NO"/>
        </w:rPr>
        <w:t>.</w:t>
      </w:r>
      <w:r w:rsidR="00C64193">
        <w:rPr>
          <w:lang w:val="nn-NO"/>
        </w:rPr>
        <w:t xml:space="preserve"> </w:t>
      </w:r>
    </w:p>
    <w:p w:rsidR="0025292B" w:rsidRDefault="00D77481" w:rsidP="00A46423">
      <w:pPr>
        <w:pStyle w:val="Georgia11spacing10after"/>
        <w:rPr>
          <w:lang w:val="nn-NO"/>
        </w:rPr>
      </w:pPr>
      <w:r>
        <w:rPr>
          <w:lang w:val="nn-NO"/>
        </w:rPr>
        <w:t>På den eine sida vil desse nye stillingane løyse det omtalte kapasitetsproblemet, men på den andre sida vil desse stillingane auke personalkostnadane ved senteret. Vi ser det difor som viktig å sette opp ulike scenario</w:t>
      </w:r>
      <w:r w:rsidR="00C80BE7">
        <w:rPr>
          <w:lang w:val="nn-NO"/>
        </w:rPr>
        <w:t xml:space="preserve"> for å gi styret eit grunnlag for å vurdere korleis TIK sin økonomi vil sjå ut ved ei stillingsutviding og om ein større stab vil være berekraftig i eit framtidsperspektiv. </w:t>
      </w:r>
      <w:r w:rsidR="00FA47BA">
        <w:rPr>
          <w:lang w:val="nn-NO"/>
        </w:rPr>
        <w:t>Vi har sett nærare på dette for stillingar som</w:t>
      </w:r>
      <w:r w:rsidR="00C64193">
        <w:rPr>
          <w:lang w:val="nn-NO"/>
        </w:rPr>
        <w:t xml:space="preserve"> førsteamanuensis eller professor.</w:t>
      </w:r>
      <w:r w:rsidR="00FA47BA">
        <w:rPr>
          <w:lang w:val="nn-NO"/>
        </w:rPr>
        <w:t xml:space="preserve"> </w:t>
      </w:r>
    </w:p>
    <w:p w:rsidR="00770B57" w:rsidRDefault="00770B57" w:rsidP="00FA47BA">
      <w:pPr>
        <w:pStyle w:val="Georgia11Italic"/>
        <w:rPr>
          <w:lang w:val="nn-NO"/>
        </w:rPr>
      </w:pPr>
    </w:p>
    <w:p w:rsidR="00C80BE7" w:rsidRDefault="00C80BE7">
      <w:pPr>
        <w:spacing w:after="0" w:line="240" w:lineRule="auto"/>
        <w:rPr>
          <w:rFonts w:ascii="Georgia" w:hAnsi="Georgia"/>
          <w:b/>
          <w:i/>
          <w:lang w:val="nn-NO"/>
        </w:rPr>
      </w:pPr>
      <w:r>
        <w:rPr>
          <w:b/>
          <w:lang w:val="nn-NO"/>
        </w:rPr>
        <w:br w:type="page"/>
      </w:r>
    </w:p>
    <w:p w:rsidR="00FA47BA" w:rsidRPr="00770B57" w:rsidRDefault="00FA47BA" w:rsidP="00FA47BA">
      <w:pPr>
        <w:pStyle w:val="Georgia11Italic"/>
        <w:rPr>
          <w:b/>
          <w:lang w:val="nn-NO"/>
        </w:rPr>
      </w:pPr>
      <w:r w:rsidRPr="00770B57">
        <w:rPr>
          <w:b/>
          <w:lang w:val="nn-NO"/>
        </w:rPr>
        <w:lastRenderedPageBreak/>
        <w:t>Gjeldande langtidsprognose</w:t>
      </w:r>
    </w:p>
    <w:p w:rsidR="00FA47BA" w:rsidRPr="00FA47BA" w:rsidRDefault="00FA47BA" w:rsidP="00FA47BA">
      <w:pPr>
        <w:pStyle w:val="Georgia11spacing0after"/>
        <w:rPr>
          <w:lang w:val="nn-NO"/>
        </w:rPr>
      </w:pPr>
    </w:p>
    <w:p w:rsidR="00FA47BA" w:rsidRPr="00FC4C9A" w:rsidRDefault="00FA47BA" w:rsidP="00FA47BA">
      <w:pPr>
        <w:rPr>
          <w:b/>
        </w:rPr>
      </w:pPr>
      <w:r>
        <w:rPr>
          <w:b/>
        </w:rPr>
        <w:t>Tabell 1</w:t>
      </w:r>
      <w:r w:rsidRPr="00FC4C9A">
        <w:rPr>
          <w:b/>
        </w:rPr>
        <w:t>: Oppdatert langtidsprognose</w:t>
      </w:r>
    </w:p>
    <w:tbl>
      <w:tblPr>
        <w:tblW w:w="6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880"/>
        <w:gridCol w:w="880"/>
        <w:gridCol w:w="880"/>
        <w:gridCol w:w="880"/>
        <w:gridCol w:w="880"/>
      </w:tblGrid>
      <w:tr w:rsidR="00FA47BA" w:rsidRPr="00F62477" w:rsidTr="00506505">
        <w:trPr>
          <w:trHeight w:val="375"/>
        </w:trPr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Langtidsprognose</w:t>
            </w:r>
          </w:p>
        </w:tc>
      </w:tr>
      <w:tr w:rsidR="00FA47BA" w:rsidRPr="00F62477" w:rsidTr="00506505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2021</w:t>
            </w:r>
          </w:p>
        </w:tc>
      </w:tr>
      <w:tr w:rsidR="00FA47BA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FA47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Inntekt frå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basisløyving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13 105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13 643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13 365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13 381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13 446</w:t>
            </w:r>
          </w:p>
        </w:tc>
      </w:tr>
      <w:tr w:rsidR="00FA47BA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16 423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16 631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16 754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15 730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15 046</w:t>
            </w:r>
          </w:p>
        </w:tc>
      </w:tr>
      <w:tr w:rsidR="00FA47BA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2 783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2 823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2 783</w:t>
            </w:r>
          </w:p>
        </w:tc>
      </w:tr>
      <w:tr w:rsidR="00FA47BA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Investeringa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</w:tr>
      <w:tr w:rsidR="00FA47BA" w:rsidRPr="00F62477" w:rsidTr="00506505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FA47BA" w:rsidRPr="00770B57" w:rsidRDefault="00770B57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nn-NO" w:eastAsia="nb-NO"/>
              </w:rPr>
            </w:pPr>
            <w:r w:rsidRPr="00770B57">
              <w:rPr>
                <w:rFonts w:eastAsia="Times New Roman"/>
                <w:b/>
                <w:bCs/>
                <w:color w:val="000000"/>
                <w:sz w:val="16"/>
                <w:szCs w:val="16"/>
                <w:lang w:val="nn-NO" w:eastAsia="nb-NO"/>
              </w:rPr>
              <w:t>Årsresultat uta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nn-NO" w:eastAsia="nb-NO"/>
              </w:rPr>
              <w:t>n nettobidrag og prosjektslutt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FA47BA" w:rsidRPr="00F62477" w:rsidRDefault="009D07F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FA47BA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6 241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7BA" w:rsidRPr="00F62477" w:rsidRDefault="009D07F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FA47BA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5 861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7BA" w:rsidRPr="00F62477" w:rsidRDefault="009D07F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FA47BA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6 222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7BA" w:rsidRPr="00F62477" w:rsidRDefault="009D07F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FA47BA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5 182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7BA" w:rsidRPr="00F62477" w:rsidRDefault="009D07F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FA47BA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4 433</w:t>
            </w:r>
          </w:p>
        </w:tc>
      </w:tr>
      <w:tr w:rsidR="00FA47BA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BA" w:rsidRPr="00F62477" w:rsidRDefault="00770B57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Nettobidrag frå prosjekt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7 079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6 946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5 000</w:t>
            </w:r>
          </w:p>
        </w:tc>
      </w:tr>
      <w:tr w:rsidR="00FA47BA" w:rsidRPr="00F62477" w:rsidTr="0050650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838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7BA" w:rsidRPr="00F62477" w:rsidRDefault="009D07F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FA47BA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1 085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7BA" w:rsidRPr="00F62477" w:rsidRDefault="009D07F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FA47BA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818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567</w:t>
            </w:r>
          </w:p>
        </w:tc>
      </w:tr>
      <w:tr w:rsidR="00FA47BA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A47BA" w:rsidRPr="00F62477" w:rsidRDefault="00770B57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Overført frå</w:t>
            </w:r>
            <w:r w:rsidR="00FA47BA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i fjor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3 297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4 135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5 220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4 999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5 816</w:t>
            </w:r>
          </w:p>
        </w:tc>
      </w:tr>
      <w:tr w:rsidR="00FA47BA" w:rsidRPr="00F62477" w:rsidTr="0050650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4 135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5 220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4 999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5 816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A47BA" w:rsidRPr="00F62477" w:rsidRDefault="00FA47BA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6 383</w:t>
            </w:r>
          </w:p>
        </w:tc>
      </w:tr>
    </w:tbl>
    <w:p w:rsidR="00FA47BA" w:rsidRDefault="00FA47BA" w:rsidP="00A46423">
      <w:pPr>
        <w:pStyle w:val="Georgia11spacing10after"/>
        <w:rPr>
          <w:lang w:val="nn-NO"/>
        </w:rPr>
      </w:pPr>
    </w:p>
    <w:p w:rsidR="00FA47BA" w:rsidRDefault="00F94B45" w:rsidP="00A46423">
      <w:pPr>
        <w:pStyle w:val="Georgia11spacing10after"/>
        <w:rPr>
          <w:lang w:val="nn-NO"/>
        </w:rPr>
      </w:pPr>
      <w:r>
        <w:rPr>
          <w:lang w:val="nn-NO"/>
        </w:rPr>
        <w:t>Vi tek utgangspunkt i gjeldande langtidsprognose for 2017 - 2021. Denne</w:t>
      </w:r>
      <w:r w:rsidR="00770B57">
        <w:rPr>
          <w:lang w:val="nn-NO"/>
        </w:rPr>
        <w:t xml:space="preserve"> viser venta basisløyving frå fakultetet for dei komande åra ut frå eksisterande fordelingsmodell og personal- og driftskostnader for basisaktivitetane på TIK ut frå eksisterande stab og kjende endringar.</w:t>
      </w:r>
      <w:r w:rsidR="00C80BE7">
        <w:rPr>
          <w:lang w:val="nn-NO"/>
        </w:rPr>
        <w:t xml:space="preserve"> Denne fordelingsmodellen er for tida under diskusjon og kan verte endra. Det er for tidleg å spå om denne endringa vil føre til større eller mindre basisløyving til TIK.</w:t>
      </w:r>
    </w:p>
    <w:p w:rsidR="00770B57" w:rsidRDefault="00770B57" w:rsidP="00A46423">
      <w:pPr>
        <w:pStyle w:val="Georgia11spacing10after"/>
        <w:rPr>
          <w:lang w:val="nn-NO"/>
        </w:rPr>
      </w:pPr>
      <w:r>
        <w:rPr>
          <w:lang w:val="nn-NO"/>
        </w:rPr>
        <w:t>Vidare viser prognosen nettobidrag frå prosjekt ut frå kjende budsjett for 2017 og 2018 og ein rundsum frå 2019 og framover.</w:t>
      </w:r>
      <w:r w:rsidR="00C80BE7">
        <w:rPr>
          <w:lang w:val="nn-NO"/>
        </w:rPr>
        <w:t xml:space="preserve"> Det estimerte bidraget for 2019 – 2021 (og vidare framover) er sjølvsagt usikkert. Vi kan ikkje rekne med at TIK vil klare å hente inn eit så høgt nettobidrag framover som i åra 2015 – 2018.</w:t>
      </w:r>
    </w:p>
    <w:p w:rsidR="00770B57" w:rsidRDefault="00770B57" w:rsidP="00A46423">
      <w:pPr>
        <w:pStyle w:val="Georgia11spacing10after"/>
        <w:rPr>
          <w:lang w:val="nn-NO"/>
        </w:rPr>
      </w:pPr>
      <w:r>
        <w:rPr>
          <w:lang w:val="nn-NO"/>
        </w:rPr>
        <w:t>Prognosen legg opp til at TIK vil ha ein buffer på rundt NOK 5 000 000 frå utgangen av 2018.</w:t>
      </w:r>
    </w:p>
    <w:p w:rsidR="00770B57" w:rsidRDefault="00770B57" w:rsidP="00770B57">
      <w:pPr>
        <w:pStyle w:val="Georgia11Italic"/>
        <w:rPr>
          <w:b/>
          <w:lang w:val="nn-NO"/>
        </w:rPr>
      </w:pPr>
    </w:p>
    <w:p w:rsidR="00770B57" w:rsidRDefault="00B67D5C" w:rsidP="00770B57">
      <w:pPr>
        <w:pStyle w:val="Georgia11Italic"/>
        <w:rPr>
          <w:b/>
          <w:lang w:val="nn-NO"/>
        </w:rPr>
      </w:pPr>
      <w:r>
        <w:rPr>
          <w:b/>
          <w:lang w:val="nn-NO"/>
        </w:rPr>
        <w:t>Scenario 1.1:  N</w:t>
      </w:r>
      <w:r w:rsidR="00770B57">
        <w:rPr>
          <w:b/>
          <w:lang w:val="nn-NO"/>
        </w:rPr>
        <w:t>ye faste stillingar</w:t>
      </w:r>
      <w:r w:rsidR="00F94B45">
        <w:rPr>
          <w:b/>
          <w:lang w:val="nn-NO"/>
        </w:rPr>
        <w:t xml:space="preserve"> </w:t>
      </w:r>
      <w:r>
        <w:rPr>
          <w:b/>
          <w:lang w:val="nn-NO"/>
        </w:rPr>
        <w:t>–</w:t>
      </w:r>
      <w:r w:rsidR="00F94B45">
        <w:rPr>
          <w:b/>
          <w:lang w:val="nn-NO"/>
        </w:rPr>
        <w:t xml:space="preserve"> førsteamanuensis</w:t>
      </w:r>
      <w:r>
        <w:rPr>
          <w:b/>
          <w:lang w:val="nn-NO"/>
        </w:rPr>
        <w:t xml:space="preserve"> – 50 % eksternt frikjøp</w:t>
      </w:r>
    </w:p>
    <w:p w:rsidR="00770B57" w:rsidRPr="00770B57" w:rsidRDefault="00770B57" w:rsidP="00770B57">
      <w:pPr>
        <w:pStyle w:val="Georgia11spacing0after"/>
        <w:rPr>
          <w:lang w:val="nn-NO"/>
        </w:rPr>
      </w:pPr>
    </w:p>
    <w:p w:rsidR="00A64486" w:rsidRDefault="00877D9C" w:rsidP="00A46423">
      <w:pPr>
        <w:pStyle w:val="Georgia11spacing10after"/>
        <w:rPr>
          <w:lang w:val="nn-NO"/>
        </w:rPr>
      </w:pPr>
      <w:r>
        <w:rPr>
          <w:lang w:val="nn-NO"/>
        </w:rPr>
        <w:t>Årlege p</w:t>
      </w:r>
      <w:r w:rsidR="00C64193">
        <w:rPr>
          <w:lang w:val="nn-NO"/>
        </w:rPr>
        <w:t xml:space="preserve">ersonalkostnadar for ei </w:t>
      </w:r>
      <w:r w:rsidR="009F58B9">
        <w:rPr>
          <w:lang w:val="nn-NO"/>
        </w:rPr>
        <w:t>stilling som førsteamanuensis</w:t>
      </w:r>
      <w:r w:rsidR="00A64486">
        <w:rPr>
          <w:lang w:val="nn-NO"/>
        </w:rPr>
        <w:t xml:space="preserve"> </w:t>
      </w:r>
      <w:r>
        <w:rPr>
          <w:lang w:val="nn-NO"/>
        </w:rPr>
        <w:t xml:space="preserve">i ltr. 70 </w:t>
      </w:r>
      <w:r w:rsidR="00A64486">
        <w:rPr>
          <w:lang w:val="nn-NO"/>
        </w:rPr>
        <w:t xml:space="preserve">er </w:t>
      </w:r>
      <w:r w:rsidR="00C64193">
        <w:rPr>
          <w:lang w:val="nn-NO"/>
        </w:rPr>
        <w:t xml:space="preserve">for 2017 </w:t>
      </w:r>
      <w:r>
        <w:rPr>
          <w:lang w:val="nn-NO"/>
        </w:rPr>
        <w:t>NOK 822 </w:t>
      </w:r>
      <w:r w:rsidR="00C64193">
        <w:rPr>
          <w:lang w:val="nn-NO"/>
        </w:rPr>
        <w:t>000</w:t>
      </w:r>
      <w:r w:rsidR="00A64486">
        <w:rPr>
          <w:lang w:val="nn-NO"/>
        </w:rPr>
        <w:t>. I tillegg må ein rekne inn pengar til drift og kontor</w:t>
      </w:r>
      <w:r w:rsidR="00F94B45">
        <w:rPr>
          <w:lang w:val="nn-NO"/>
        </w:rPr>
        <w:t>teknisk utstyr</w:t>
      </w:r>
      <w:r w:rsidR="00A64486">
        <w:rPr>
          <w:lang w:val="nn-NO"/>
        </w:rPr>
        <w:t>.</w:t>
      </w:r>
      <w:r w:rsidR="00F94B45">
        <w:rPr>
          <w:lang w:val="nn-NO"/>
        </w:rPr>
        <w:t xml:space="preserve"> Dette er estimert til 50 000</w:t>
      </w:r>
      <w:r w:rsidR="00A64486">
        <w:rPr>
          <w:lang w:val="nn-NO"/>
        </w:rPr>
        <w:t xml:space="preserve"> NOK.</w:t>
      </w:r>
    </w:p>
    <w:p w:rsidR="00877D9C" w:rsidRDefault="00A64486" w:rsidP="00A46423">
      <w:pPr>
        <w:pStyle w:val="Georgia11spacing10after"/>
        <w:rPr>
          <w:lang w:val="nn-NO"/>
        </w:rPr>
      </w:pPr>
      <w:r>
        <w:rPr>
          <w:lang w:val="nn-NO"/>
        </w:rPr>
        <w:t xml:space="preserve">Vi legg til grunn at desse to stillingane skal dele tida si mellom eksternfinansierte prosjekt og undervisningsoppgåver. Dersom desse to stillingane har </w:t>
      </w:r>
      <w:r w:rsidR="00877D9C">
        <w:rPr>
          <w:lang w:val="nn-NO"/>
        </w:rPr>
        <w:t>eit eksternt frikjøp på 50 % vil dette utløyse eit nettobidrag på NOK 520 000 for prosjekt finansiert av Noregs forskingsråd</w:t>
      </w:r>
      <w:r w:rsidR="00FC1D74">
        <w:rPr>
          <w:lang w:val="nn-NO"/>
        </w:rPr>
        <w:t>, NFR,</w:t>
      </w:r>
      <w:r w:rsidR="00877D9C">
        <w:rPr>
          <w:lang w:val="nn-NO"/>
        </w:rPr>
        <w:t xml:space="preserve"> og NOK 515 000 for eit EU-finansiert prosjekt. EU-finansierte prosjekt vil i tillegg løyse ut ekstra basisløyving, både i form av ein årleg rundsum og ein prosentvis del av tidlegare års inntekter frå </w:t>
      </w:r>
      <w:r w:rsidR="00877D9C">
        <w:rPr>
          <w:lang w:val="nn-NO"/>
        </w:rPr>
        <w:lastRenderedPageBreak/>
        <w:t>EU (RBO-midlar) over basis.</w:t>
      </w:r>
      <w:r w:rsidR="00C64193">
        <w:rPr>
          <w:lang w:val="nn-NO"/>
        </w:rPr>
        <w:t xml:space="preserve"> For EU-finansierte prosjekt får vi også 25 % overhead på bokførte driftskostnader.</w:t>
      </w:r>
    </w:p>
    <w:p w:rsidR="00877D9C" w:rsidRDefault="00C64193" w:rsidP="00A46423">
      <w:pPr>
        <w:pStyle w:val="Georgia11spacing10after"/>
        <w:rPr>
          <w:lang w:val="nn-NO"/>
        </w:rPr>
      </w:pPr>
      <w:r>
        <w:rPr>
          <w:lang w:val="nn-NO"/>
        </w:rPr>
        <w:t>Vi</w:t>
      </w:r>
      <w:r w:rsidR="00877D9C">
        <w:rPr>
          <w:lang w:val="nn-NO"/>
        </w:rPr>
        <w:t xml:space="preserve"> vel </w:t>
      </w:r>
      <w:r>
        <w:rPr>
          <w:lang w:val="nn-NO"/>
        </w:rPr>
        <w:t>i denne samanheng</w:t>
      </w:r>
      <w:r w:rsidR="00877D9C">
        <w:rPr>
          <w:lang w:val="nn-NO"/>
        </w:rPr>
        <w:t xml:space="preserve"> å ta utgangspunkt i ei finansiering frå</w:t>
      </w:r>
      <w:r w:rsidR="00FC1D74">
        <w:rPr>
          <w:lang w:val="nn-NO"/>
        </w:rPr>
        <w:t xml:space="preserve"> NFR</w:t>
      </w:r>
      <w:r w:rsidR="00877D9C">
        <w:rPr>
          <w:lang w:val="nn-NO"/>
        </w:rPr>
        <w:t>.</w:t>
      </w:r>
    </w:p>
    <w:p w:rsidR="00770B57" w:rsidRPr="00770B57" w:rsidRDefault="00770B57" w:rsidP="00770B57">
      <w:pPr>
        <w:rPr>
          <w:b/>
        </w:rPr>
      </w:pPr>
      <w:r>
        <w:rPr>
          <w:b/>
        </w:rPr>
        <w:t>Tabell 2: Førsteamanuensis</w:t>
      </w:r>
      <w:r w:rsidR="00C80BE7">
        <w:rPr>
          <w:b/>
        </w:rPr>
        <w:t xml:space="preserve"> (50 % eksternt frikjøp)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3211"/>
        <w:gridCol w:w="3212"/>
      </w:tblGrid>
      <w:tr w:rsidR="00090576" w:rsidTr="00090576">
        <w:tc>
          <w:tcPr>
            <w:tcW w:w="3259" w:type="dxa"/>
          </w:tcPr>
          <w:p w:rsidR="00090576" w:rsidRDefault="00090576" w:rsidP="00A46423">
            <w:pPr>
              <w:pStyle w:val="Georgia11spacing10after"/>
              <w:rPr>
                <w:lang w:val="nn-NO"/>
              </w:rPr>
            </w:pPr>
          </w:p>
        </w:tc>
        <w:tc>
          <w:tcPr>
            <w:tcW w:w="3259" w:type="dxa"/>
          </w:tcPr>
          <w:p w:rsidR="00090576" w:rsidRDefault="00090576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Førsteamanuensis ltr. 70</w:t>
            </w:r>
          </w:p>
        </w:tc>
        <w:tc>
          <w:tcPr>
            <w:tcW w:w="3260" w:type="dxa"/>
          </w:tcPr>
          <w:p w:rsidR="00090576" w:rsidRDefault="00F94B45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To førsteamanuensar</w:t>
            </w:r>
            <w:r w:rsidR="00090576">
              <w:rPr>
                <w:lang w:val="nn-NO"/>
              </w:rPr>
              <w:t xml:space="preserve"> ltr. 70</w:t>
            </w:r>
          </w:p>
        </w:tc>
      </w:tr>
      <w:tr w:rsidR="00090576" w:rsidTr="00090576">
        <w:tc>
          <w:tcPr>
            <w:tcW w:w="3259" w:type="dxa"/>
          </w:tcPr>
          <w:p w:rsidR="00090576" w:rsidRDefault="00090576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Personalkostnad</w:t>
            </w:r>
          </w:p>
        </w:tc>
        <w:tc>
          <w:tcPr>
            <w:tcW w:w="3259" w:type="dxa"/>
          </w:tcPr>
          <w:p w:rsidR="00090576" w:rsidRDefault="00090576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 822 000</w:t>
            </w:r>
          </w:p>
        </w:tc>
        <w:tc>
          <w:tcPr>
            <w:tcW w:w="3260" w:type="dxa"/>
          </w:tcPr>
          <w:p w:rsidR="00090576" w:rsidRDefault="00090576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 1 644 000</w:t>
            </w:r>
          </w:p>
        </w:tc>
      </w:tr>
      <w:tr w:rsidR="00090576" w:rsidTr="00090576">
        <w:tc>
          <w:tcPr>
            <w:tcW w:w="3259" w:type="dxa"/>
          </w:tcPr>
          <w:p w:rsidR="00090576" w:rsidRDefault="00090576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Drift og kontor</w:t>
            </w:r>
            <w:r w:rsidR="009F58B9">
              <w:rPr>
                <w:lang w:val="nn-NO"/>
              </w:rPr>
              <w:t>teknisk utstyr</w:t>
            </w:r>
          </w:p>
        </w:tc>
        <w:tc>
          <w:tcPr>
            <w:tcW w:w="3259" w:type="dxa"/>
          </w:tcPr>
          <w:p w:rsidR="00090576" w:rsidRDefault="00090576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</w:t>
            </w:r>
            <w:r w:rsidR="009F58B9">
              <w:rPr>
                <w:lang w:val="nn-NO"/>
              </w:rPr>
              <w:t xml:space="preserve">  50 000</w:t>
            </w:r>
          </w:p>
        </w:tc>
        <w:tc>
          <w:tcPr>
            <w:tcW w:w="3260" w:type="dxa"/>
          </w:tcPr>
          <w:p w:rsidR="00090576" w:rsidRDefault="00090576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</w:t>
            </w:r>
            <w:r w:rsidR="009F58B9">
              <w:rPr>
                <w:lang w:val="nn-NO"/>
              </w:rPr>
              <w:t xml:space="preserve">  100 000</w:t>
            </w:r>
          </w:p>
        </w:tc>
      </w:tr>
      <w:tr w:rsidR="00090576" w:rsidTr="00090576">
        <w:tc>
          <w:tcPr>
            <w:tcW w:w="3259" w:type="dxa"/>
          </w:tcPr>
          <w:p w:rsidR="00090576" w:rsidRDefault="00090576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SUM Kostnader</w:t>
            </w:r>
          </w:p>
        </w:tc>
        <w:tc>
          <w:tcPr>
            <w:tcW w:w="3259" w:type="dxa"/>
          </w:tcPr>
          <w:p w:rsidR="00090576" w:rsidRDefault="009F58B9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 872 000</w:t>
            </w:r>
          </w:p>
        </w:tc>
        <w:tc>
          <w:tcPr>
            <w:tcW w:w="3260" w:type="dxa"/>
          </w:tcPr>
          <w:p w:rsidR="00090576" w:rsidRDefault="009F58B9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 1 744 000</w:t>
            </w:r>
          </w:p>
        </w:tc>
      </w:tr>
      <w:tr w:rsidR="00090576" w:rsidTr="00090576">
        <w:tc>
          <w:tcPr>
            <w:tcW w:w="3259" w:type="dxa"/>
          </w:tcPr>
          <w:p w:rsidR="00090576" w:rsidRDefault="00090576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50 % frikjøp frå NFR</w:t>
            </w:r>
          </w:p>
        </w:tc>
        <w:tc>
          <w:tcPr>
            <w:tcW w:w="3259" w:type="dxa"/>
          </w:tcPr>
          <w:p w:rsidR="00090576" w:rsidRDefault="00090576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 520 000</w:t>
            </w:r>
          </w:p>
        </w:tc>
        <w:tc>
          <w:tcPr>
            <w:tcW w:w="3260" w:type="dxa"/>
          </w:tcPr>
          <w:p w:rsidR="00090576" w:rsidRDefault="00090576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 1 040 000</w:t>
            </w:r>
          </w:p>
        </w:tc>
      </w:tr>
      <w:tr w:rsidR="00090576" w:rsidTr="00090576">
        <w:tc>
          <w:tcPr>
            <w:tcW w:w="3259" w:type="dxa"/>
          </w:tcPr>
          <w:p w:rsidR="00090576" w:rsidRDefault="00090576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Finansiering frå TIK</w:t>
            </w:r>
          </w:p>
        </w:tc>
        <w:tc>
          <w:tcPr>
            <w:tcW w:w="3259" w:type="dxa"/>
          </w:tcPr>
          <w:p w:rsidR="00090576" w:rsidRDefault="009F58B9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 352 000</w:t>
            </w:r>
          </w:p>
        </w:tc>
        <w:tc>
          <w:tcPr>
            <w:tcW w:w="3260" w:type="dxa"/>
          </w:tcPr>
          <w:p w:rsidR="00090576" w:rsidRDefault="009F58B9" w:rsidP="00A46423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 704 000</w:t>
            </w:r>
          </w:p>
        </w:tc>
      </w:tr>
    </w:tbl>
    <w:p w:rsidR="00877D9C" w:rsidRDefault="00877D9C" w:rsidP="00A46423">
      <w:pPr>
        <w:pStyle w:val="Georgia11spacing10after"/>
        <w:rPr>
          <w:lang w:val="nn-NO"/>
        </w:rPr>
      </w:pPr>
    </w:p>
    <w:p w:rsidR="00FC1D74" w:rsidRDefault="00FC1D74" w:rsidP="00A46423">
      <w:pPr>
        <w:pStyle w:val="Georgia11spacing10after"/>
        <w:rPr>
          <w:lang w:val="nn-NO"/>
        </w:rPr>
      </w:pPr>
      <w:r>
        <w:rPr>
          <w:lang w:val="nn-NO"/>
        </w:rPr>
        <w:t xml:space="preserve">TIK-senteret må under dei føresetnadene som er sette, bruke NOK 704 000 av basisløyvinga til </w:t>
      </w:r>
      <w:r w:rsidR="00B54662">
        <w:rPr>
          <w:lang w:val="nn-NO"/>
        </w:rPr>
        <w:t>årleg</w:t>
      </w:r>
      <w:r w:rsidR="00F94B45">
        <w:rPr>
          <w:lang w:val="nn-NO"/>
        </w:rPr>
        <w:t xml:space="preserve"> om staben vert utvida med to slike stillingar</w:t>
      </w:r>
      <w:r>
        <w:rPr>
          <w:lang w:val="nn-NO"/>
        </w:rPr>
        <w:t>.</w:t>
      </w:r>
      <w:r w:rsidR="00F94B45">
        <w:rPr>
          <w:lang w:val="nn-NO"/>
        </w:rPr>
        <w:t xml:space="preserve"> Legg vi dette inn i langtidsprognosen frå 2018 ser vi at TIK sin buffer vil</w:t>
      </w:r>
      <w:r w:rsidR="009D07FC">
        <w:rPr>
          <w:lang w:val="nn-NO"/>
        </w:rPr>
        <w:t xml:space="preserve"> halde seg rundt NOK 4 000 000.</w:t>
      </w:r>
    </w:p>
    <w:p w:rsidR="00F94B45" w:rsidRPr="00F94B45" w:rsidRDefault="00F94B45" w:rsidP="00F94B45">
      <w:pPr>
        <w:rPr>
          <w:b/>
          <w:lang w:val="nn-NO"/>
        </w:rPr>
      </w:pPr>
      <w:r w:rsidRPr="00F94B45">
        <w:rPr>
          <w:b/>
          <w:lang w:val="nn-NO"/>
        </w:rPr>
        <w:t>Tabell 3: Langtidsprognose + 2 førsteam. (50 %</w:t>
      </w:r>
      <w:r w:rsidR="00B67D5C">
        <w:rPr>
          <w:b/>
          <w:lang w:val="nn-NO"/>
        </w:rPr>
        <w:t xml:space="preserve"> eksternt</w:t>
      </w:r>
      <w:r w:rsidRPr="00F94B45">
        <w:rPr>
          <w:b/>
          <w:lang w:val="nn-NO"/>
        </w:rPr>
        <w:t xml:space="preserve"> frikjøp) </w:t>
      </w:r>
      <w:r w:rsidR="00B67D5C" w:rsidRPr="00F94B45">
        <w:rPr>
          <w:b/>
          <w:lang w:val="nn-NO"/>
        </w:rPr>
        <w:t>frå</w:t>
      </w:r>
      <w:r w:rsidRPr="00F94B45">
        <w:rPr>
          <w:b/>
          <w:lang w:val="nn-NO"/>
        </w:rPr>
        <w:t xml:space="preserve"> 2018</w:t>
      </w:r>
    </w:p>
    <w:tbl>
      <w:tblPr>
        <w:tblW w:w="6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880"/>
        <w:gridCol w:w="880"/>
        <w:gridCol w:w="880"/>
        <w:gridCol w:w="880"/>
        <w:gridCol w:w="880"/>
      </w:tblGrid>
      <w:tr w:rsidR="00F94B45" w:rsidRPr="00F94B45" w:rsidTr="00506505">
        <w:trPr>
          <w:trHeight w:val="375"/>
        </w:trPr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45" w:rsidRPr="00F94B45" w:rsidRDefault="00F94B45" w:rsidP="005065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nn-NO" w:eastAsia="nb-NO"/>
              </w:rPr>
            </w:pPr>
            <w:r w:rsidRPr="00F94B45">
              <w:rPr>
                <w:rFonts w:eastAsia="Times New Roman"/>
                <w:b/>
                <w:bCs/>
                <w:color w:val="000000"/>
                <w:sz w:val="28"/>
                <w:szCs w:val="28"/>
                <w:lang w:val="nn-NO" w:eastAsia="nb-NO"/>
              </w:rPr>
              <w:t>Langtidsprognose</w:t>
            </w:r>
          </w:p>
        </w:tc>
      </w:tr>
      <w:tr w:rsidR="00F94B45" w:rsidRPr="00F62477" w:rsidTr="00506505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94B45" w:rsidRPr="00F94B45" w:rsidRDefault="00F94B45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nn-NO" w:eastAsia="nb-NO"/>
              </w:rPr>
            </w:pPr>
            <w:r w:rsidRPr="00F94B45">
              <w:rPr>
                <w:rFonts w:eastAsia="Times New Roman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4B45" w:rsidRPr="00F94B45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nn-NO" w:eastAsia="nb-NO"/>
              </w:rPr>
            </w:pPr>
            <w:r w:rsidRPr="00F94B45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nn-NO" w:eastAsia="nb-NO"/>
              </w:rPr>
              <w:t>Prognose 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4B45" w:rsidRPr="00F94B45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nn-NO" w:eastAsia="nb-NO"/>
              </w:rPr>
            </w:pPr>
            <w:r w:rsidRPr="00F94B45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nn-NO" w:eastAsia="nb-NO"/>
              </w:rPr>
              <w:t>Prognose 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4B45" w:rsidRPr="00F94B45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nn-NO" w:eastAsia="nb-NO"/>
              </w:rPr>
            </w:pPr>
            <w:r w:rsidRPr="00F94B45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nn-NO" w:eastAsia="nb-NO"/>
              </w:rPr>
              <w:t>Prognose 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2021</w:t>
            </w:r>
          </w:p>
        </w:tc>
      </w:tr>
      <w:tr w:rsidR="00F94B45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Inntekt frå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basisløyving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13 105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13 643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13 365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13 381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13 446</w:t>
            </w:r>
          </w:p>
        </w:tc>
      </w:tr>
      <w:tr w:rsidR="00F94B45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16 423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18 275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18 398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17 374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16 690</w:t>
            </w:r>
          </w:p>
        </w:tc>
      </w:tr>
      <w:tr w:rsidR="00F94B45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2 783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2 9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 xml:space="preserve">2 </w:t>
            </w: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 xml:space="preserve"> 8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2 8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</w:tr>
      <w:tr w:rsidR="00F94B45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Investeringa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</w:tr>
      <w:tr w:rsidR="00F94B45" w:rsidRPr="00F62477" w:rsidTr="00506505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F94B45" w:rsidRPr="00770B57" w:rsidRDefault="00F94B45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nn-NO" w:eastAsia="nb-NO"/>
              </w:rPr>
            </w:pPr>
            <w:r w:rsidRPr="00770B57">
              <w:rPr>
                <w:rFonts w:eastAsia="Times New Roman"/>
                <w:b/>
                <w:bCs/>
                <w:color w:val="000000"/>
                <w:sz w:val="16"/>
                <w:szCs w:val="16"/>
                <w:lang w:val="nn-NO" w:eastAsia="nb-NO"/>
              </w:rPr>
              <w:t>Årsresultat uta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nn-NO" w:eastAsia="nb-NO"/>
              </w:rPr>
              <w:t>n nettobidrag og prosjektslutt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6 241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-7 605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-7 966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-6 926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-6 177</w:t>
            </w:r>
          </w:p>
        </w:tc>
      </w:tr>
      <w:tr w:rsidR="00506505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Nettobidrag frå prosjekt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7 079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7 986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7 04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7 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6 04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F94B45" w:rsidRPr="00F62477" w:rsidTr="0050650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838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-137</w:t>
            </w:r>
          </w:p>
        </w:tc>
      </w:tr>
      <w:tr w:rsidR="00F94B45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Overført frå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i fjor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3 297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4 135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4 516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3 950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3 704</w:t>
            </w:r>
          </w:p>
        </w:tc>
      </w:tr>
      <w:tr w:rsidR="00F94B45" w:rsidRPr="00F62477" w:rsidTr="0050650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4 135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4 516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3 950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3 704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94B45" w:rsidRPr="00F62477" w:rsidRDefault="00F94B4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3 567</w:t>
            </w:r>
          </w:p>
        </w:tc>
      </w:tr>
    </w:tbl>
    <w:p w:rsidR="00F94B45" w:rsidRDefault="00F94B45" w:rsidP="00F94B45">
      <w:pPr>
        <w:pStyle w:val="Georgia11Italic"/>
        <w:rPr>
          <w:lang w:val="nn-NO"/>
        </w:rPr>
      </w:pPr>
    </w:p>
    <w:p w:rsidR="00B67D5C" w:rsidRDefault="00B67D5C" w:rsidP="00B67D5C">
      <w:pPr>
        <w:pStyle w:val="Georgia11Italic"/>
        <w:rPr>
          <w:b/>
          <w:lang w:val="nn-NO"/>
        </w:rPr>
      </w:pPr>
    </w:p>
    <w:p w:rsidR="00506505" w:rsidRDefault="00506505">
      <w:pPr>
        <w:spacing w:after="0" w:line="240" w:lineRule="auto"/>
        <w:rPr>
          <w:rFonts w:ascii="Georgia" w:hAnsi="Georgia"/>
          <w:b/>
          <w:i/>
          <w:lang w:val="nn-NO"/>
        </w:rPr>
      </w:pPr>
      <w:r>
        <w:rPr>
          <w:b/>
          <w:lang w:val="nn-NO"/>
        </w:rPr>
        <w:br w:type="page"/>
      </w:r>
    </w:p>
    <w:p w:rsidR="00B67D5C" w:rsidRDefault="003C63DE" w:rsidP="00B67D5C">
      <w:pPr>
        <w:pStyle w:val="Georgia11Italic"/>
        <w:rPr>
          <w:b/>
          <w:lang w:val="nn-NO"/>
        </w:rPr>
      </w:pPr>
      <w:r>
        <w:rPr>
          <w:b/>
          <w:lang w:val="nn-NO"/>
        </w:rPr>
        <w:lastRenderedPageBreak/>
        <w:t>Scenario 1.2</w:t>
      </w:r>
      <w:r w:rsidR="00B67D5C">
        <w:rPr>
          <w:b/>
          <w:lang w:val="nn-NO"/>
        </w:rPr>
        <w:t>:  Nye faste stillingar – førsteamanuensis – 0 % eksternt frikjøp</w:t>
      </w:r>
    </w:p>
    <w:p w:rsidR="00B67D5C" w:rsidRDefault="00B67D5C" w:rsidP="00B67D5C">
      <w:pPr>
        <w:pStyle w:val="Georgia11spacing0after"/>
        <w:rPr>
          <w:lang w:val="nn-NO"/>
        </w:rPr>
      </w:pPr>
    </w:p>
    <w:p w:rsidR="00B67D5C" w:rsidRDefault="00B67D5C" w:rsidP="00B67D5C">
      <w:pPr>
        <w:pStyle w:val="Georgia11spacing0after"/>
        <w:rPr>
          <w:lang w:val="nn-NO"/>
        </w:rPr>
      </w:pPr>
      <w:r>
        <w:rPr>
          <w:lang w:val="nn-NO"/>
        </w:rPr>
        <w:t xml:space="preserve">Vi kan risikere å ikkje lukkast i å hente inn eksterne prosjektmidlar til desse to stillingane. Det fører til ein rein auke </w:t>
      </w:r>
      <w:r w:rsidR="003C63DE">
        <w:rPr>
          <w:lang w:val="nn-NO"/>
        </w:rPr>
        <w:t>i kostnader i langtidsprognosen og TIK sin buffer vil forsvinne i løpet av 2021.</w:t>
      </w:r>
    </w:p>
    <w:p w:rsidR="00B67D5C" w:rsidRDefault="00B67D5C" w:rsidP="00B67D5C">
      <w:pPr>
        <w:pStyle w:val="Georgia11spacing0after"/>
        <w:rPr>
          <w:lang w:val="nn-NO"/>
        </w:rPr>
      </w:pPr>
    </w:p>
    <w:p w:rsidR="00B67D5C" w:rsidRPr="00F94B45" w:rsidRDefault="00B67D5C" w:rsidP="00B67D5C">
      <w:pPr>
        <w:rPr>
          <w:b/>
          <w:lang w:val="nn-NO"/>
        </w:rPr>
      </w:pPr>
      <w:r>
        <w:rPr>
          <w:b/>
          <w:lang w:val="nn-NO"/>
        </w:rPr>
        <w:t>Tabell 4</w:t>
      </w:r>
      <w:r w:rsidRPr="00F94B45">
        <w:rPr>
          <w:b/>
          <w:lang w:val="nn-NO"/>
        </w:rPr>
        <w:t>: L</w:t>
      </w:r>
      <w:r>
        <w:rPr>
          <w:b/>
          <w:lang w:val="nn-NO"/>
        </w:rPr>
        <w:t>angtidsprognose + 2 førsteam. (</w:t>
      </w:r>
      <w:r w:rsidRPr="00F94B45">
        <w:rPr>
          <w:b/>
          <w:lang w:val="nn-NO"/>
        </w:rPr>
        <w:t>0 %</w:t>
      </w:r>
      <w:r>
        <w:rPr>
          <w:b/>
          <w:lang w:val="nn-NO"/>
        </w:rPr>
        <w:t xml:space="preserve"> eksternt</w:t>
      </w:r>
      <w:r w:rsidRPr="00F94B45">
        <w:rPr>
          <w:b/>
          <w:lang w:val="nn-NO"/>
        </w:rPr>
        <w:t xml:space="preserve"> frikjøp) frå 2018</w:t>
      </w:r>
    </w:p>
    <w:tbl>
      <w:tblPr>
        <w:tblW w:w="6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880"/>
        <w:gridCol w:w="880"/>
        <w:gridCol w:w="880"/>
        <w:gridCol w:w="880"/>
        <w:gridCol w:w="880"/>
      </w:tblGrid>
      <w:tr w:rsidR="00B67D5C" w:rsidRPr="00F94B45" w:rsidTr="00506505">
        <w:trPr>
          <w:trHeight w:val="375"/>
        </w:trPr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D5C" w:rsidRPr="00F94B45" w:rsidRDefault="00B67D5C" w:rsidP="005065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nn-NO" w:eastAsia="nb-NO"/>
              </w:rPr>
            </w:pPr>
            <w:r w:rsidRPr="00F94B45">
              <w:rPr>
                <w:rFonts w:eastAsia="Times New Roman"/>
                <w:b/>
                <w:bCs/>
                <w:color w:val="000000"/>
                <w:sz w:val="28"/>
                <w:szCs w:val="28"/>
                <w:lang w:val="nn-NO" w:eastAsia="nb-NO"/>
              </w:rPr>
              <w:t>Langtidsprognose</w:t>
            </w:r>
          </w:p>
        </w:tc>
      </w:tr>
      <w:tr w:rsidR="00B67D5C" w:rsidRPr="00F62477" w:rsidTr="00506505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67D5C" w:rsidRPr="00F94B45" w:rsidRDefault="00B67D5C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nn-NO" w:eastAsia="nb-NO"/>
              </w:rPr>
            </w:pPr>
            <w:r w:rsidRPr="00F94B45">
              <w:rPr>
                <w:rFonts w:eastAsia="Times New Roman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D5C" w:rsidRPr="00F94B45" w:rsidRDefault="00B67D5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nn-NO" w:eastAsia="nb-NO"/>
              </w:rPr>
            </w:pPr>
            <w:r w:rsidRPr="00F94B45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nn-NO" w:eastAsia="nb-NO"/>
              </w:rPr>
              <w:t>Prognose 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D5C" w:rsidRPr="00F94B45" w:rsidRDefault="00B67D5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nn-NO" w:eastAsia="nb-NO"/>
              </w:rPr>
            </w:pPr>
            <w:r w:rsidRPr="00F94B45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nn-NO" w:eastAsia="nb-NO"/>
              </w:rPr>
              <w:t>Prognose 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D5C" w:rsidRPr="00F94B45" w:rsidRDefault="00B67D5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nn-NO" w:eastAsia="nb-NO"/>
              </w:rPr>
            </w:pPr>
            <w:r w:rsidRPr="00F94B45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nn-NO" w:eastAsia="nb-NO"/>
              </w:rPr>
              <w:t>Prognose 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2021</w:t>
            </w:r>
          </w:p>
        </w:tc>
      </w:tr>
      <w:tr w:rsidR="00B67D5C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Inntekt frå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basisløyving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13 105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13 643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13 365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13 381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13 446</w:t>
            </w:r>
          </w:p>
        </w:tc>
      </w:tr>
      <w:tr w:rsidR="00B67D5C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16 423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18 275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18 398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17 374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16 690</w:t>
            </w:r>
          </w:p>
        </w:tc>
      </w:tr>
      <w:tr w:rsidR="00B67D5C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2 783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2 9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 xml:space="preserve">2 </w:t>
            </w: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 xml:space="preserve"> 8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2 8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</w:tr>
      <w:tr w:rsidR="00B67D5C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Investeringa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</w:tr>
      <w:tr w:rsidR="00B67D5C" w:rsidRPr="00F62477" w:rsidTr="00506505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B67D5C" w:rsidRPr="00770B57" w:rsidRDefault="00B67D5C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nn-NO" w:eastAsia="nb-NO"/>
              </w:rPr>
            </w:pPr>
            <w:r w:rsidRPr="00770B57">
              <w:rPr>
                <w:rFonts w:eastAsia="Times New Roman"/>
                <w:b/>
                <w:bCs/>
                <w:color w:val="000000"/>
                <w:sz w:val="16"/>
                <w:szCs w:val="16"/>
                <w:lang w:val="nn-NO" w:eastAsia="nb-NO"/>
              </w:rPr>
              <w:t>Årsresultat uta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nn-NO" w:eastAsia="nb-NO"/>
              </w:rPr>
              <w:t>n nettobidrag og prosjektslutt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6 241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-7 605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-7 966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-6 926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-6 177</w:t>
            </w:r>
          </w:p>
        </w:tc>
      </w:tr>
      <w:tr w:rsidR="00506505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Nettobidrag frå prosjekt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7 079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6 946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5 000</w:t>
            </w:r>
          </w:p>
        </w:tc>
      </w:tr>
      <w:tr w:rsidR="00B67D5C" w:rsidRPr="00F62477" w:rsidTr="0050650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838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D5C" w:rsidRPr="00F62477" w:rsidRDefault="003C63D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-659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D5C" w:rsidRPr="00F62477" w:rsidRDefault="003C63D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1 96</w:t>
            </w:r>
            <w:r w:rsidR="00B67D5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D5C" w:rsidRPr="00F62477" w:rsidRDefault="003C63D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-926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D5C" w:rsidRPr="00F62477" w:rsidRDefault="003C63D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-1 177</w:t>
            </w:r>
          </w:p>
        </w:tc>
      </w:tr>
      <w:tr w:rsidR="00B67D5C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Overført frå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i fjor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3 297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4 135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3C63DE" w:rsidRPr="00F62477" w:rsidRDefault="003C63DE" w:rsidP="003C63D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3 476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B67D5C" w:rsidRPr="00F62477" w:rsidRDefault="003C63D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1 510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5C" w:rsidRPr="00F62477" w:rsidRDefault="003C63D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584</w:t>
            </w:r>
          </w:p>
        </w:tc>
      </w:tr>
      <w:tr w:rsidR="00B67D5C" w:rsidRPr="00F62477" w:rsidTr="0050650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67D5C" w:rsidRPr="00F62477" w:rsidRDefault="00B67D5C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4 135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67D5C" w:rsidRPr="00F62477" w:rsidRDefault="003C63D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3 476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67D5C" w:rsidRPr="00F62477" w:rsidRDefault="003C63D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1 510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67D5C" w:rsidRPr="00F62477" w:rsidRDefault="003C63D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67D5C" w:rsidRPr="00F62477" w:rsidRDefault="003C63D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-593</w:t>
            </w:r>
          </w:p>
        </w:tc>
      </w:tr>
    </w:tbl>
    <w:p w:rsidR="00B67D5C" w:rsidRPr="00B67D5C" w:rsidRDefault="00B67D5C" w:rsidP="00B67D5C">
      <w:pPr>
        <w:pStyle w:val="Georgia11spacing0after"/>
        <w:rPr>
          <w:lang w:val="nn-NO"/>
        </w:rPr>
      </w:pPr>
    </w:p>
    <w:p w:rsidR="00F94B45" w:rsidRDefault="003C63DE" w:rsidP="009D07FC">
      <w:pPr>
        <w:pStyle w:val="Georgia11Italic"/>
        <w:rPr>
          <w:b/>
          <w:lang w:val="nn-NO"/>
        </w:rPr>
      </w:pPr>
      <w:r>
        <w:rPr>
          <w:b/>
          <w:lang w:val="nn-NO"/>
        </w:rPr>
        <w:t>Scenario 2.1</w:t>
      </w:r>
      <w:r w:rsidR="00B67D5C">
        <w:rPr>
          <w:b/>
          <w:lang w:val="nn-NO"/>
        </w:rPr>
        <w:t>: N</w:t>
      </w:r>
      <w:r w:rsidR="009D07FC">
        <w:rPr>
          <w:b/>
          <w:lang w:val="nn-NO"/>
        </w:rPr>
        <w:t>ye faste stillingar – professor</w:t>
      </w:r>
      <w:r>
        <w:rPr>
          <w:b/>
          <w:lang w:val="nn-NO"/>
        </w:rPr>
        <w:t xml:space="preserve"> - 50 % eksternt frikjøp</w:t>
      </w:r>
    </w:p>
    <w:p w:rsidR="009D07FC" w:rsidRPr="009D07FC" w:rsidRDefault="009D07FC" w:rsidP="009D07FC">
      <w:pPr>
        <w:pStyle w:val="Georgia11spacing0after"/>
        <w:rPr>
          <w:lang w:val="nn-NO"/>
        </w:rPr>
      </w:pPr>
    </w:p>
    <w:p w:rsidR="001A63F3" w:rsidRDefault="00C64193" w:rsidP="00A46423">
      <w:pPr>
        <w:pStyle w:val="Georgia11spacing0after"/>
        <w:rPr>
          <w:lang w:val="nn-NO"/>
        </w:rPr>
      </w:pPr>
      <w:r>
        <w:rPr>
          <w:lang w:val="nn-NO"/>
        </w:rPr>
        <w:t>Årlege personalkostnadar for ei professorstilling</w:t>
      </w:r>
      <w:r w:rsidR="009F58B9">
        <w:rPr>
          <w:lang w:val="nn-NO"/>
        </w:rPr>
        <w:t xml:space="preserve"> i ltr. 82 er for 2017 NOK 1 105 000.</w:t>
      </w:r>
      <w:r w:rsidR="00FC1D74">
        <w:rPr>
          <w:lang w:val="nn-NO"/>
        </w:rPr>
        <w:t xml:space="preserve"> NFR opererer med runds</w:t>
      </w:r>
      <w:r w:rsidR="00F94B45">
        <w:rPr>
          <w:lang w:val="nn-NO"/>
        </w:rPr>
        <w:t xml:space="preserve">ummar for nettobidrag og rundsummen er </w:t>
      </w:r>
      <w:r w:rsidR="00FC1D74">
        <w:rPr>
          <w:lang w:val="nn-NO"/>
        </w:rPr>
        <w:t>den same som for stillinga over</w:t>
      </w:r>
      <w:r w:rsidR="00F94B45">
        <w:rPr>
          <w:lang w:val="nn-NO"/>
        </w:rPr>
        <w:t>,</w:t>
      </w:r>
      <w:r w:rsidR="00FC1D74">
        <w:rPr>
          <w:lang w:val="nn-NO"/>
        </w:rPr>
        <w:t xml:space="preserve"> NOK 520</w:t>
      </w:r>
      <w:r w:rsidR="005C2A21">
        <w:rPr>
          <w:lang w:val="nn-NO"/>
        </w:rPr>
        <w:t> </w:t>
      </w:r>
      <w:r w:rsidR="00FC1D74">
        <w:rPr>
          <w:lang w:val="nn-NO"/>
        </w:rPr>
        <w:t>000</w:t>
      </w:r>
      <w:r w:rsidR="005C2A21">
        <w:rPr>
          <w:lang w:val="nn-NO"/>
        </w:rPr>
        <w:t xml:space="preserve"> ved eit frikjøp på 50 %</w:t>
      </w:r>
      <w:r w:rsidR="00FC1D74">
        <w:rPr>
          <w:lang w:val="nn-NO"/>
        </w:rPr>
        <w:t>. (Til samanlikning vil eit EU-prosjekt løyse ut eit nettobidrag på NOK 690</w:t>
      </w:r>
      <w:r w:rsidR="005C2A21">
        <w:rPr>
          <w:lang w:val="nn-NO"/>
        </w:rPr>
        <w:t> </w:t>
      </w:r>
      <w:r w:rsidR="00FC1D74">
        <w:rPr>
          <w:lang w:val="nn-NO"/>
        </w:rPr>
        <w:t>000</w:t>
      </w:r>
      <w:r w:rsidR="005C2A21">
        <w:rPr>
          <w:lang w:val="nn-NO"/>
        </w:rPr>
        <w:t xml:space="preserve"> for eit tilsvarande frikjøp</w:t>
      </w:r>
      <w:r w:rsidR="00FC1D74">
        <w:rPr>
          <w:lang w:val="nn-NO"/>
        </w:rPr>
        <w:t>.)</w:t>
      </w:r>
    </w:p>
    <w:p w:rsidR="00B54662" w:rsidRDefault="00B54662" w:rsidP="00A46423">
      <w:pPr>
        <w:pStyle w:val="Georgia11spacing0after"/>
        <w:rPr>
          <w:lang w:val="nn-NO"/>
        </w:rPr>
      </w:pPr>
    </w:p>
    <w:p w:rsidR="00FC1D74" w:rsidRPr="00B54662" w:rsidRDefault="00B54662" w:rsidP="00B54662">
      <w:pPr>
        <w:rPr>
          <w:b/>
        </w:rPr>
      </w:pPr>
      <w:r>
        <w:rPr>
          <w:b/>
        </w:rPr>
        <w:t xml:space="preserve">Tabell </w:t>
      </w:r>
      <w:r w:rsidR="003C63DE">
        <w:rPr>
          <w:b/>
        </w:rPr>
        <w:t>5</w:t>
      </w:r>
      <w:r>
        <w:rPr>
          <w:b/>
        </w:rPr>
        <w:t xml:space="preserve">: </w:t>
      </w:r>
      <w:r w:rsidR="00C23F95">
        <w:rPr>
          <w:b/>
        </w:rPr>
        <w:t>Professor</w:t>
      </w:r>
      <w:r w:rsidR="003C63DE">
        <w:rPr>
          <w:b/>
        </w:rPr>
        <w:t xml:space="preserve"> (50 % eksternt frikjøp)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3204"/>
        <w:gridCol w:w="3203"/>
      </w:tblGrid>
      <w:tr w:rsidR="00FC1D74" w:rsidTr="00506505">
        <w:tc>
          <w:tcPr>
            <w:tcW w:w="3259" w:type="dxa"/>
          </w:tcPr>
          <w:p w:rsidR="00FC1D74" w:rsidRDefault="00FC1D74" w:rsidP="00506505">
            <w:pPr>
              <w:pStyle w:val="Georgia11spacing10after"/>
              <w:rPr>
                <w:lang w:val="nn-NO"/>
              </w:rPr>
            </w:pPr>
          </w:p>
        </w:tc>
        <w:tc>
          <w:tcPr>
            <w:tcW w:w="3259" w:type="dxa"/>
          </w:tcPr>
          <w:p w:rsidR="00FC1D74" w:rsidRDefault="00FC1D74" w:rsidP="00506505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Professor ltr. 82</w:t>
            </w:r>
          </w:p>
        </w:tc>
        <w:tc>
          <w:tcPr>
            <w:tcW w:w="3260" w:type="dxa"/>
          </w:tcPr>
          <w:p w:rsidR="00FC1D74" w:rsidRDefault="00FC1D74" w:rsidP="00506505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Professor ltr. 82</w:t>
            </w:r>
          </w:p>
        </w:tc>
      </w:tr>
      <w:tr w:rsidR="00FC1D74" w:rsidTr="00506505">
        <w:tc>
          <w:tcPr>
            <w:tcW w:w="3259" w:type="dxa"/>
          </w:tcPr>
          <w:p w:rsidR="00FC1D74" w:rsidRDefault="00FC1D74" w:rsidP="00506505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Personalkostnad</w:t>
            </w:r>
          </w:p>
        </w:tc>
        <w:tc>
          <w:tcPr>
            <w:tcW w:w="3259" w:type="dxa"/>
          </w:tcPr>
          <w:p w:rsidR="00FC1D74" w:rsidRDefault="00FC1D74" w:rsidP="00FC1D74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NOK1 105 000</w:t>
            </w:r>
          </w:p>
        </w:tc>
        <w:tc>
          <w:tcPr>
            <w:tcW w:w="3260" w:type="dxa"/>
          </w:tcPr>
          <w:p w:rsidR="00FC1D74" w:rsidRDefault="00FC1D74" w:rsidP="00FC1D74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 2 210 000</w:t>
            </w:r>
          </w:p>
        </w:tc>
      </w:tr>
      <w:tr w:rsidR="00FC1D74" w:rsidTr="00506505">
        <w:tc>
          <w:tcPr>
            <w:tcW w:w="3259" w:type="dxa"/>
          </w:tcPr>
          <w:p w:rsidR="00FC1D74" w:rsidRDefault="00FC1D74" w:rsidP="00506505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Drift og kontorteknisk utstyr</w:t>
            </w:r>
          </w:p>
        </w:tc>
        <w:tc>
          <w:tcPr>
            <w:tcW w:w="3259" w:type="dxa"/>
          </w:tcPr>
          <w:p w:rsidR="00FC1D74" w:rsidRDefault="00FC1D74" w:rsidP="00506505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  50 000</w:t>
            </w:r>
          </w:p>
        </w:tc>
        <w:tc>
          <w:tcPr>
            <w:tcW w:w="3260" w:type="dxa"/>
          </w:tcPr>
          <w:p w:rsidR="00FC1D74" w:rsidRDefault="00FC1D74" w:rsidP="00506505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  100 000</w:t>
            </w:r>
          </w:p>
        </w:tc>
      </w:tr>
      <w:tr w:rsidR="00FC1D74" w:rsidTr="00506505">
        <w:tc>
          <w:tcPr>
            <w:tcW w:w="3259" w:type="dxa"/>
          </w:tcPr>
          <w:p w:rsidR="00FC1D74" w:rsidRDefault="00FC1D74" w:rsidP="00506505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SUM Kostnader</w:t>
            </w:r>
          </w:p>
        </w:tc>
        <w:tc>
          <w:tcPr>
            <w:tcW w:w="3259" w:type="dxa"/>
          </w:tcPr>
          <w:p w:rsidR="00FC1D74" w:rsidRDefault="00FC1D74" w:rsidP="00FC1D74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 1 155 000</w:t>
            </w:r>
          </w:p>
        </w:tc>
        <w:tc>
          <w:tcPr>
            <w:tcW w:w="3260" w:type="dxa"/>
          </w:tcPr>
          <w:p w:rsidR="00FC1D74" w:rsidRDefault="00FC1D74" w:rsidP="00FC1D74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 2 310 000</w:t>
            </w:r>
          </w:p>
        </w:tc>
      </w:tr>
      <w:tr w:rsidR="00FC1D74" w:rsidTr="00506505">
        <w:tc>
          <w:tcPr>
            <w:tcW w:w="3259" w:type="dxa"/>
          </w:tcPr>
          <w:p w:rsidR="00FC1D74" w:rsidRDefault="00FC1D74" w:rsidP="00506505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50 % frikjøp frå NFR</w:t>
            </w:r>
          </w:p>
        </w:tc>
        <w:tc>
          <w:tcPr>
            <w:tcW w:w="3259" w:type="dxa"/>
          </w:tcPr>
          <w:p w:rsidR="00FC1D74" w:rsidRDefault="00FC1D74" w:rsidP="00506505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 520 000</w:t>
            </w:r>
          </w:p>
        </w:tc>
        <w:tc>
          <w:tcPr>
            <w:tcW w:w="3260" w:type="dxa"/>
          </w:tcPr>
          <w:p w:rsidR="00FC1D74" w:rsidRDefault="00FC1D74" w:rsidP="00506505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NOK 1 040 000</w:t>
            </w:r>
          </w:p>
        </w:tc>
      </w:tr>
      <w:tr w:rsidR="00FC1D74" w:rsidTr="00506505">
        <w:tc>
          <w:tcPr>
            <w:tcW w:w="3259" w:type="dxa"/>
          </w:tcPr>
          <w:p w:rsidR="00FC1D74" w:rsidRDefault="00FC1D74" w:rsidP="00506505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>Finansiering frå TIK</w:t>
            </w:r>
          </w:p>
        </w:tc>
        <w:tc>
          <w:tcPr>
            <w:tcW w:w="3259" w:type="dxa"/>
          </w:tcPr>
          <w:p w:rsidR="00FC1D74" w:rsidRDefault="00FC1D74" w:rsidP="005C2A21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 xml:space="preserve">NOK </w:t>
            </w:r>
            <w:r w:rsidR="005C2A21">
              <w:rPr>
                <w:lang w:val="nn-NO"/>
              </w:rPr>
              <w:t>635</w:t>
            </w:r>
            <w:r>
              <w:rPr>
                <w:lang w:val="nn-NO"/>
              </w:rPr>
              <w:t xml:space="preserve"> 000</w:t>
            </w:r>
          </w:p>
        </w:tc>
        <w:tc>
          <w:tcPr>
            <w:tcW w:w="3260" w:type="dxa"/>
          </w:tcPr>
          <w:p w:rsidR="00FC1D74" w:rsidRDefault="00FC1D74" w:rsidP="005C2A21">
            <w:pPr>
              <w:pStyle w:val="Georgia11spacing10after"/>
              <w:rPr>
                <w:lang w:val="nn-NO"/>
              </w:rPr>
            </w:pPr>
            <w:r>
              <w:rPr>
                <w:lang w:val="nn-NO"/>
              </w:rPr>
              <w:t xml:space="preserve">NOK </w:t>
            </w:r>
            <w:r w:rsidR="005C2A21">
              <w:rPr>
                <w:lang w:val="nn-NO"/>
              </w:rPr>
              <w:t>1 270</w:t>
            </w:r>
            <w:r>
              <w:rPr>
                <w:lang w:val="nn-NO"/>
              </w:rPr>
              <w:t xml:space="preserve"> 000</w:t>
            </w:r>
          </w:p>
        </w:tc>
      </w:tr>
    </w:tbl>
    <w:p w:rsidR="00DC1458" w:rsidRDefault="009D07FC" w:rsidP="009D07FC">
      <w:pPr>
        <w:pStyle w:val="Georgia11spacing0after"/>
        <w:rPr>
          <w:lang w:val="nn-NO"/>
        </w:rPr>
      </w:pPr>
      <w:r>
        <w:rPr>
          <w:lang w:val="nn-NO"/>
        </w:rPr>
        <w:lastRenderedPageBreak/>
        <w:t xml:space="preserve">For to professorstillingar må TIK årleg bruke NOK 1 270 000 av basisløyvinga, med dei same føresetnadene. Når vi legg dette inn i langtidsprognosen </w:t>
      </w:r>
      <w:bookmarkStart w:id="1" w:name="VEDLEGG"/>
      <w:bookmarkStart w:id="2" w:name="KOPITILTABELL"/>
      <w:bookmarkEnd w:id="1"/>
      <w:bookmarkEnd w:id="2"/>
      <w:r>
        <w:rPr>
          <w:lang w:val="nn-NO"/>
        </w:rPr>
        <w:t>ser vi at TIK sin buffer vil bli redusert ned til vel ein million i 2021.</w:t>
      </w:r>
    </w:p>
    <w:p w:rsidR="00937054" w:rsidRDefault="00937054" w:rsidP="00937054">
      <w:pPr>
        <w:pStyle w:val="Georgia11spacing0after"/>
        <w:rPr>
          <w:lang w:val="nn-NO"/>
        </w:rPr>
      </w:pPr>
    </w:p>
    <w:p w:rsidR="00937054" w:rsidRPr="00FC4C9A" w:rsidRDefault="003C63DE" w:rsidP="00937054">
      <w:pPr>
        <w:rPr>
          <w:b/>
        </w:rPr>
      </w:pPr>
      <w:r>
        <w:rPr>
          <w:b/>
        </w:rPr>
        <w:t>Tabell 6</w:t>
      </w:r>
      <w:r w:rsidR="00937054">
        <w:rPr>
          <w:b/>
        </w:rPr>
        <w:t>: L</w:t>
      </w:r>
      <w:r w:rsidR="00937054" w:rsidRPr="00FC4C9A">
        <w:rPr>
          <w:b/>
        </w:rPr>
        <w:t>angtidsprognose</w:t>
      </w:r>
      <w:r w:rsidR="00937054">
        <w:rPr>
          <w:b/>
        </w:rPr>
        <w:t xml:space="preserve"> + 2 prof. (50 %</w:t>
      </w:r>
      <w:r w:rsidR="00506505">
        <w:rPr>
          <w:b/>
        </w:rPr>
        <w:t xml:space="preserve"> eksternt</w:t>
      </w:r>
      <w:r w:rsidR="00937054">
        <w:rPr>
          <w:b/>
        </w:rPr>
        <w:t xml:space="preserve"> frikjøp)</w:t>
      </w:r>
    </w:p>
    <w:tbl>
      <w:tblPr>
        <w:tblW w:w="6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880"/>
        <w:gridCol w:w="880"/>
        <w:gridCol w:w="880"/>
        <w:gridCol w:w="880"/>
        <w:gridCol w:w="880"/>
      </w:tblGrid>
      <w:tr w:rsidR="00937054" w:rsidRPr="00F62477" w:rsidTr="00506505">
        <w:trPr>
          <w:trHeight w:val="375"/>
        </w:trPr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Langtidsprognose</w:t>
            </w:r>
          </w:p>
        </w:tc>
      </w:tr>
      <w:tr w:rsidR="00937054" w:rsidRPr="00F62477" w:rsidTr="00506505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2021</w:t>
            </w:r>
          </w:p>
        </w:tc>
      </w:tr>
      <w:tr w:rsidR="00937054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Inntekt frå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basisløyving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13 105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13 643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13 365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13 381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13 446</w:t>
            </w:r>
          </w:p>
        </w:tc>
      </w:tr>
      <w:tr w:rsidR="00937054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16 423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18 84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18 96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17 940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17 256</w:t>
            </w:r>
          </w:p>
        </w:tc>
      </w:tr>
      <w:tr w:rsidR="00937054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2 783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2 9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2 8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2 8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2 8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</w:tr>
      <w:tr w:rsidR="00937054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Investeringa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</w:tr>
      <w:tr w:rsidR="00937054" w:rsidRPr="00F62477" w:rsidTr="00506505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937054" w:rsidRPr="00770B57" w:rsidRDefault="00937054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nn-NO" w:eastAsia="nb-NO"/>
              </w:rPr>
            </w:pPr>
            <w:r w:rsidRPr="00770B57">
              <w:rPr>
                <w:rFonts w:eastAsia="Times New Roman"/>
                <w:b/>
                <w:bCs/>
                <w:color w:val="000000"/>
                <w:sz w:val="16"/>
                <w:szCs w:val="16"/>
                <w:lang w:val="nn-NO" w:eastAsia="nb-NO"/>
              </w:rPr>
              <w:t>Årsresultat uta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nn-NO" w:eastAsia="nb-NO"/>
              </w:rPr>
              <w:t>n nettobidrag og prosjektslutt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937054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937054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6 241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37054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9370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8 17</w:t>
            </w:r>
            <w:r w:rsidR="00937054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37054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9370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8 53</w:t>
            </w:r>
            <w:r w:rsidR="00937054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37054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9370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7 49</w:t>
            </w:r>
            <w:r w:rsidR="00937054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37054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9370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6 74</w:t>
            </w:r>
            <w:r w:rsidR="00937054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937054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Nettobidrag frå prosjekt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7 079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7 98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7 04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7 04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6 04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937054" w:rsidRPr="00F62477" w:rsidTr="0050650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937054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937054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838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37054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9370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</w:t>
            </w:r>
            <w:r w:rsidR="00937054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37054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9370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1 49</w:t>
            </w:r>
            <w:r w:rsidR="00937054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37054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9370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37054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93705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703</w:t>
            </w:r>
          </w:p>
        </w:tc>
      </w:tr>
      <w:tr w:rsidR="00937054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Overført frå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i fjor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3 297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4 135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3 95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2 458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2 00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</w:t>
            </w:r>
          </w:p>
        </w:tc>
      </w:tr>
      <w:tr w:rsidR="00937054" w:rsidRPr="00F62477" w:rsidTr="0050650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4 135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3 95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2 458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2 00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37054" w:rsidRPr="00F62477" w:rsidRDefault="00937054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1 303</w:t>
            </w:r>
          </w:p>
        </w:tc>
      </w:tr>
    </w:tbl>
    <w:p w:rsidR="009D07FC" w:rsidRDefault="009D07FC" w:rsidP="00937054">
      <w:pPr>
        <w:pStyle w:val="Georgia11spacing0after"/>
        <w:rPr>
          <w:lang w:val="nn-NO"/>
        </w:rPr>
      </w:pPr>
    </w:p>
    <w:p w:rsidR="003C63DE" w:rsidRDefault="003C63DE" w:rsidP="003C63DE">
      <w:pPr>
        <w:pStyle w:val="Georgia11Italic"/>
        <w:rPr>
          <w:b/>
          <w:lang w:val="nn-NO"/>
        </w:rPr>
      </w:pPr>
      <w:r>
        <w:rPr>
          <w:b/>
          <w:lang w:val="nn-NO"/>
        </w:rPr>
        <w:t>Scenario 2.2: Nye faste stillingar – professor - 0 % eksternt frikjøp</w:t>
      </w:r>
    </w:p>
    <w:p w:rsidR="003C63DE" w:rsidRDefault="003C63DE" w:rsidP="00937054">
      <w:pPr>
        <w:pStyle w:val="Georgia11spacing0after"/>
        <w:rPr>
          <w:lang w:val="nn-NO"/>
        </w:rPr>
      </w:pPr>
    </w:p>
    <w:p w:rsidR="003C63DE" w:rsidRDefault="003C63DE" w:rsidP="00937054">
      <w:pPr>
        <w:pStyle w:val="Georgia11spacing0after"/>
        <w:rPr>
          <w:lang w:val="nn-NO"/>
        </w:rPr>
      </w:pPr>
      <w:r>
        <w:rPr>
          <w:lang w:val="nn-NO"/>
        </w:rPr>
        <w:t xml:space="preserve">Dersom vi ikkje lukkast i å hente inn eksterne prosjektmidlar for desse to stillingane vil TIK sin buffer forsvinne endå raskare </w:t>
      </w:r>
      <w:r w:rsidR="0080518E">
        <w:rPr>
          <w:lang w:val="nn-NO"/>
        </w:rPr>
        <w:t>og TIK vil ha eit underskot frå 2020.</w:t>
      </w:r>
    </w:p>
    <w:p w:rsidR="00506505" w:rsidRDefault="00506505" w:rsidP="00937054">
      <w:pPr>
        <w:pStyle w:val="Georgia11spacing0after"/>
        <w:rPr>
          <w:lang w:val="nn-NO"/>
        </w:rPr>
      </w:pPr>
    </w:p>
    <w:p w:rsidR="00506505" w:rsidRPr="00FC4C9A" w:rsidRDefault="00506505" w:rsidP="00506505">
      <w:pPr>
        <w:rPr>
          <w:b/>
        </w:rPr>
      </w:pPr>
      <w:r>
        <w:rPr>
          <w:b/>
        </w:rPr>
        <w:t>Tabell 7: L</w:t>
      </w:r>
      <w:r w:rsidRPr="00FC4C9A">
        <w:rPr>
          <w:b/>
        </w:rPr>
        <w:t>angtidsprognose</w:t>
      </w:r>
      <w:r>
        <w:rPr>
          <w:b/>
        </w:rPr>
        <w:t xml:space="preserve"> + 2 prof. (0 % eksternt frikjøp)</w:t>
      </w:r>
    </w:p>
    <w:tbl>
      <w:tblPr>
        <w:tblW w:w="6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880"/>
        <w:gridCol w:w="880"/>
        <w:gridCol w:w="880"/>
        <w:gridCol w:w="880"/>
        <w:gridCol w:w="880"/>
      </w:tblGrid>
      <w:tr w:rsidR="00506505" w:rsidRPr="00F62477" w:rsidTr="00506505">
        <w:trPr>
          <w:trHeight w:val="375"/>
        </w:trPr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Langtidsprognose</w:t>
            </w:r>
          </w:p>
        </w:tc>
      </w:tr>
      <w:tr w:rsidR="00506505" w:rsidRPr="00F62477" w:rsidTr="00506505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2021</w:t>
            </w:r>
          </w:p>
        </w:tc>
      </w:tr>
      <w:tr w:rsidR="00506505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Inntekt frå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basisløyving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13 105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13 643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13 365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13 381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13 446</w:t>
            </w:r>
          </w:p>
        </w:tc>
      </w:tr>
      <w:tr w:rsidR="00506505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16 423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18 84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18 96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17 940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17 256</w:t>
            </w:r>
          </w:p>
        </w:tc>
      </w:tr>
      <w:tr w:rsidR="00506505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2 783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2 9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2 8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2 8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2 8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83</w:t>
            </w:r>
          </w:p>
        </w:tc>
      </w:tr>
      <w:tr w:rsidR="00506505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Investeringa</w:t>
            </w: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color w:val="000000"/>
                <w:sz w:val="16"/>
                <w:szCs w:val="16"/>
                <w:lang w:eastAsia="nb-NO"/>
              </w:rPr>
              <w:t>50</w:t>
            </w:r>
          </w:p>
        </w:tc>
      </w:tr>
      <w:tr w:rsidR="00506505" w:rsidRPr="00F62477" w:rsidTr="00506505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506505" w:rsidRPr="00770B57" w:rsidRDefault="00506505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nn-NO" w:eastAsia="nb-NO"/>
              </w:rPr>
            </w:pPr>
            <w:r w:rsidRPr="00770B57">
              <w:rPr>
                <w:rFonts w:eastAsia="Times New Roman"/>
                <w:b/>
                <w:bCs/>
                <w:color w:val="000000"/>
                <w:sz w:val="16"/>
                <w:szCs w:val="16"/>
                <w:lang w:val="nn-NO" w:eastAsia="nb-NO"/>
              </w:rPr>
              <w:t>Årsresultat uta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nn-NO" w:eastAsia="nb-NO"/>
              </w:rPr>
              <w:t>n nettobidrag og prosjektslutt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6 241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-8 17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06505" w:rsidRPr="00F62477" w:rsidRDefault="000F3ED6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50650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8 53</w:t>
            </w:r>
            <w:r w:rsidR="00506505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06505" w:rsidRPr="00F62477" w:rsidRDefault="000F3ED6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50650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7 49</w:t>
            </w:r>
            <w:r w:rsidR="00506505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06505" w:rsidRPr="00F62477" w:rsidRDefault="000F3ED6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50650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6 74</w:t>
            </w:r>
            <w:r w:rsidR="00506505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</w:t>
            </w:r>
          </w:p>
        </w:tc>
      </w:tr>
      <w:tr w:rsidR="00506505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Nettobidrag frå prosjekt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7 079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6 946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6 000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5 000</w:t>
            </w:r>
          </w:p>
        </w:tc>
      </w:tr>
      <w:tr w:rsidR="00506505" w:rsidRPr="00F62477" w:rsidTr="0050650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838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06505" w:rsidRPr="00F62477" w:rsidRDefault="0080518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-2 532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06505" w:rsidRPr="00F62477" w:rsidRDefault="0080518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-1 492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06505" w:rsidRPr="00F62477" w:rsidRDefault="0080518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-1 743</w:t>
            </w:r>
          </w:p>
        </w:tc>
      </w:tr>
      <w:tr w:rsidR="00506505" w:rsidRPr="00F62477" w:rsidTr="0050650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Overført frå</w:t>
            </w: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i fjor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3 297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4 135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80518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2 91</w:t>
            </w:r>
            <w:r w:rsidR="00506505"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06505" w:rsidRPr="00F62477" w:rsidRDefault="0080518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378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</w:t>
            </w:r>
            <w:r w:rsidR="00805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1 114</w:t>
            </w:r>
          </w:p>
        </w:tc>
      </w:tr>
      <w:tr w:rsidR="00506505" w:rsidRPr="00F62477" w:rsidTr="0050650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F624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4 135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506505" w:rsidRPr="00F62477" w:rsidRDefault="00506505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2 910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506505" w:rsidRPr="00F62477" w:rsidRDefault="0080518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37</w:t>
            </w:r>
            <w:r w:rsidR="0050650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506505" w:rsidRPr="00F62477" w:rsidRDefault="0080518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-1 114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06505" w:rsidRPr="00F62477" w:rsidRDefault="0080518E" w:rsidP="0050650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-2 857</w:t>
            </w:r>
          </w:p>
        </w:tc>
      </w:tr>
    </w:tbl>
    <w:p w:rsidR="00506505" w:rsidRDefault="00506505" w:rsidP="00937054">
      <w:pPr>
        <w:pStyle w:val="Georgia11spacing0after"/>
        <w:rPr>
          <w:lang w:val="nn-NO"/>
        </w:rPr>
      </w:pPr>
    </w:p>
    <w:p w:rsidR="007816E8" w:rsidRDefault="007816E8" w:rsidP="007816E8">
      <w:pPr>
        <w:pStyle w:val="Georgia11Italic"/>
        <w:rPr>
          <w:b/>
          <w:lang w:val="nn-NO"/>
        </w:rPr>
      </w:pPr>
      <w:r>
        <w:rPr>
          <w:b/>
          <w:lang w:val="nn-NO"/>
        </w:rPr>
        <w:lastRenderedPageBreak/>
        <w:t xml:space="preserve">Samanlikning av </w:t>
      </w:r>
      <w:r w:rsidR="00733EAC">
        <w:rPr>
          <w:b/>
          <w:lang w:val="nn-NO"/>
        </w:rPr>
        <w:t xml:space="preserve"> dei </w:t>
      </w:r>
      <w:r>
        <w:rPr>
          <w:b/>
          <w:lang w:val="nn-NO"/>
        </w:rPr>
        <w:t>ulike scenario</w:t>
      </w:r>
      <w:r w:rsidR="00733EAC">
        <w:rPr>
          <w:b/>
          <w:lang w:val="nn-NO"/>
        </w:rPr>
        <w:t>a</w:t>
      </w:r>
      <w:r w:rsidR="00E30811">
        <w:rPr>
          <w:b/>
          <w:lang w:val="nn-NO"/>
        </w:rPr>
        <w:t xml:space="preserve"> og avsluttande kommentarar</w:t>
      </w:r>
    </w:p>
    <w:p w:rsidR="007816E8" w:rsidRDefault="007816E8" w:rsidP="007816E8">
      <w:pPr>
        <w:pStyle w:val="Georgia11spacing0after"/>
        <w:rPr>
          <w:lang w:val="nn-NO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816E8" w:rsidTr="00781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7816E8" w:rsidRDefault="007816E8" w:rsidP="007816E8">
            <w:pPr>
              <w:pStyle w:val="Georgia11spacing0after"/>
              <w:rPr>
                <w:lang w:val="nn-NO"/>
              </w:rPr>
            </w:pPr>
            <w:r>
              <w:rPr>
                <w:lang w:val="nn-NO"/>
              </w:rPr>
              <w:t>Scenario og tal på nye stillingar:</w:t>
            </w:r>
          </w:p>
        </w:tc>
        <w:tc>
          <w:tcPr>
            <w:tcW w:w="2407" w:type="dxa"/>
          </w:tcPr>
          <w:p w:rsidR="007816E8" w:rsidRDefault="007816E8" w:rsidP="007816E8">
            <w:pPr>
              <w:pStyle w:val="Georgia11spacing0af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Årleg finansiering frå basis</w:t>
            </w:r>
          </w:p>
        </w:tc>
        <w:tc>
          <w:tcPr>
            <w:tcW w:w="2407" w:type="dxa"/>
          </w:tcPr>
          <w:p w:rsidR="007816E8" w:rsidRDefault="007816E8" w:rsidP="007816E8">
            <w:pPr>
              <w:pStyle w:val="Georgia11spacing0af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Årsresultat i snitt 2018 - 2021</w:t>
            </w:r>
          </w:p>
        </w:tc>
        <w:tc>
          <w:tcPr>
            <w:tcW w:w="2407" w:type="dxa"/>
          </w:tcPr>
          <w:p w:rsidR="007816E8" w:rsidRDefault="007816E8" w:rsidP="007816E8">
            <w:pPr>
              <w:pStyle w:val="Georgia11spacing0af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Akkumulert resultat 2021</w:t>
            </w:r>
          </w:p>
        </w:tc>
      </w:tr>
      <w:tr w:rsidR="007816E8" w:rsidTr="00781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7816E8" w:rsidRDefault="007816E8" w:rsidP="007816E8">
            <w:pPr>
              <w:pStyle w:val="Georgia11spacing0after"/>
              <w:rPr>
                <w:lang w:val="nn-NO"/>
              </w:rPr>
            </w:pPr>
            <w:r>
              <w:rPr>
                <w:lang w:val="nn-NO"/>
              </w:rPr>
              <w:t>Scenario 1.1 – ein førsteamanuensis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352 000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210 000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4 975 000</w:t>
            </w:r>
          </w:p>
        </w:tc>
      </w:tr>
      <w:tr w:rsidR="007816E8" w:rsidTr="00781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7816E8" w:rsidRDefault="007816E8" w:rsidP="007816E8">
            <w:pPr>
              <w:pStyle w:val="Georgia11spacing0after"/>
              <w:rPr>
                <w:lang w:val="nn-NO"/>
              </w:rPr>
            </w:pPr>
            <w:r>
              <w:rPr>
                <w:lang w:val="nn-NO"/>
              </w:rPr>
              <w:t>Scenario 1.1 – to førsteamanuensar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704 000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-142 000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3 567 000</w:t>
            </w:r>
          </w:p>
        </w:tc>
      </w:tr>
      <w:tr w:rsidR="007816E8" w:rsidTr="00781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7816E8" w:rsidRDefault="007816E8" w:rsidP="007816E8">
            <w:pPr>
              <w:pStyle w:val="Georgia11spacing0after"/>
              <w:rPr>
                <w:lang w:val="nn-NO"/>
              </w:rPr>
            </w:pPr>
            <w:r>
              <w:rPr>
                <w:lang w:val="nn-NO"/>
              </w:rPr>
              <w:t>Scenario 1.2 – ein førsteamanuensis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872 000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-310 000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2 895 000</w:t>
            </w:r>
          </w:p>
        </w:tc>
      </w:tr>
      <w:tr w:rsidR="007816E8" w:rsidTr="00781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7816E8" w:rsidRDefault="007816E8" w:rsidP="007816E8">
            <w:pPr>
              <w:pStyle w:val="Georgia11spacing0after"/>
              <w:rPr>
                <w:lang w:val="nn-NO"/>
              </w:rPr>
            </w:pPr>
            <w:r>
              <w:rPr>
                <w:lang w:val="nn-NO"/>
              </w:rPr>
              <w:t>Scenario 1.2 – to førsteamanuensar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1 744 000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-1 182 000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-593 000</w:t>
            </w:r>
          </w:p>
        </w:tc>
      </w:tr>
      <w:tr w:rsidR="007816E8" w:rsidTr="00781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7816E8" w:rsidRDefault="007816E8" w:rsidP="007816E8">
            <w:pPr>
              <w:pStyle w:val="Georgia11spacing0after"/>
              <w:rPr>
                <w:lang w:val="nn-NO"/>
              </w:rPr>
            </w:pPr>
            <w:r>
              <w:rPr>
                <w:lang w:val="nn-NO"/>
              </w:rPr>
              <w:t>Scenario 2.1 – ein professor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635 000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-73 000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3 843 000</w:t>
            </w:r>
          </w:p>
        </w:tc>
      </w:tr>
      <w:tr w:rsidR="007816E8" w:rsidTr="00781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7816E8" w:rsidRDefault="007816E8" w:rsidP="007816E8">
            <w:pPr>
              <w:pStyle w:val="Georgia11spacing0after"/>
              <w:rPr>
                <w:lang w:val="nn-NO"/>
              </w:rPr>
            </w:pPr>
            <w:r>
              <w:rPr>
                <w:lang w:val="nn-NO"/>
              </w:rPr>
              <w:t>Scenario 2.1 – to professorar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1 270 000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-708 000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1 303 000</w:t>
            </w:r>
          </w:p>
        </w:tc>
      </w:tr>
      <w:tr w:rsidR="007816E8" w:rsidTr="00781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7816E8" w:rsidRDefault="007816E8" w:rsidP="007816E8">
            <w:pPr>
              <w:pStyle w:val="Georgia11spacing0after"/>
              <w:rPr>
                <w:lang w:val="nn-NO"/>
              </w:rPr>
            </w:pPr>
            <w:r>
              <w:rPr>
                <w:lang w:val="nn-NO"/>
              </w:rPr>
              <w:t>Scenario 2.2 – ein professor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1 155 000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-593 000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1 763 000</w:t>
            </w:r>
          </w:p>
        </w:tc>
      </w:tr>
      <w:tr w:rsidR="007816E8" w:rsidTr="00781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7816E8" w:rsidRDefault="007816E8" w:rsidP="007816E8">
            <w:pPr>
              <w:pStyle w:val="Georgia11spacing0after"/>
              <w:rPr>
                <w:lang w:val="nn-NO"/>
              </w:rPr>
            </w:pPr>
            <w:r>
              <w:rPr>
                <w:lang w:val="nn-NO"/>
              </w:rPr>
              <w:t>Scenario 2.2 – to professorar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2 310 000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-1 748 000</w:t>
            </w:r>
          </w:p>
        </w:tc>
        <w:tc>
          <w:tcPr>
            <w:tcW w:w="2407" w:type="dxa"/>
            <w:vAlign w:val="center"/>
          </w:tcPr>
          <w:p w:rsidR="007816E8" w:rsidRDefault="007816E8" w:rsidP="007816E8">
            <w:pPr>
              <w:pStyle w:val="Georgia11spacing0afte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-2 857 000</w:t>
            </w:r>
          </w:p>
        </w:tc>
      </w:tr>
    </w:tbl>
    <w:p w:rsidR="007816E8" w:rsidRPr="007816E8" w:rsidRDefault="007816E8" w:rsidP="007816E8">
      <w:pPr>
        <w:pStyle w:val="Georgia11spacing0after"/>
        <w:rPr>
          <w:lang w:val="nn-NO"/>
        </w:rPr>
      </w:pPr>
    </w:p>
    <w:p w:rsidR="007816E8" w:rsidRDefault="00E30811" w:rsidP="00937054">
      <w:pPr>
        <w:pStyle w:val="Georgia11spacing0after"/>
        <w:rPr>
          <w:lang w:val="nn-NO"/>
        </w:rPr>
      </w:pPr>
      <w:r>
        <w:rPr>
          <w:lang w:val="nn-NO"/>
        </w:rPr>
        <w:t xml:space="preserve">Tabellen viser at dei fleste scenarioa basert på ein ny stilling (førsteamanuensis eller professor) ser ut til å vere berekraftige økonomisk, sidan det akkumulerte resultatet i 2021 er positivt (mellom 1,7 og 5 mill NOK). På den andre sida ser vi </w:t>
      </w:r>
      <w:r w:rsidR="00733EAC">
        <w:rPr>
          <w:lang w:val="nn-NO"/>
        </w:rPr>
        <w:t>ein viss risiko ved å utvide staben med to seniorar. Dersom vi ikkje lukkast i å hente inn eksterne prosjektmidlar til desse, vil TIK sin økonomi ikkje gå i balanse og det akkumulerte resultatet vil bli redusert og forsvinne etter ei tid</w:t>
      </w:r>
      <w:r>
        <w:rPr>
          <w:lang w:val="nn-NO"/>
        </w:rPr>
        <w:t xml:space="preserve"> (sjå scenario 1.2 og 2.2 med to stillingar)</w:t>
      </w:r>
      <w:r w:rsidR="00733EAC">
        <w:rPr>
          <w:lang w:val="nn-NO"/>
        </w:rPr>
        <w:t>.</w:t>
      </w:r>
    </w:p>
    <w:p w:rsidR="007E5773" w:rsidRPr="007E5773" w:rsidRDefault="007E5773" w:rsidP="007E5773">
      <w:pPr>
        <w:pStyle w:val="Georgia11spacing0after"/>
        <w:rPr>
          <w:lang w:val="nn-NO"/>
        </w:rPr>
      </w:pPr>
    </w:p>
    <w:p w:rsidR="00733EAC" w:rsidRDefault="00E30811" w:rsidP="00937054">
      <w:pPr>
        <w:pStyle w:val="Georgia11spacing0after"/>
        <w:rPr>
          <w:lang w:val="nn-NO"/>
        </w:rPr>
      </w:pPr>
      <w:r>
        <w:rPr>
          <w:lang w:val="nn-NO"/>
        </w:rPr>
        <w:t xml:space="preserve">Samstundes vil vi peike på eit anna viktig moment. </w:t>
      </w:r>
      <w:r w:rsidR="007E5773">
        <w:rPr>
          <w:lang w:val="nn-NO"/>
        </w:rPr>
        <w:t>Ei styrking av den vitskaplege staben kan også styrke TIK sin posisjon og gene</w:t>
      </w:r>
      <w:r>
        <w:rPr>
          <w:lang w:val="nn-NO"/>
        </w:rPr>
        <w:t>rere nye inntekter til senteret som ikkje er inkludert i dei ulike scenarioa over.</w:t>
      </w:r>
      <w:r w:rsidR="007E5773">
        <w:rPr>
          <w:lang w:val="nn-NO"/>
        </w:rPr>
        <w:t xml:space="preserve"> Vi vil her trekke fram to alternativ.</w:t>
      </w:r>
    </w:p>
    <w:p w:rsidR="007E5773" w:rsidRDefault="007E5773" w:rsidP="00937054">
      <w:pPr>
        <w:pStyle w:val="Georgia11spacing0after"/>
        <w:rPr>
          <w:lang w:val="nn-NO"/>
        </w:rPr>
      </w:pPr>
    </w:p>
    <w:p w:rsidR="007E5773" w:rsidRPr="004D4ED1" w:rsidRDefault="007E5773" w:rsidP="007E5773">
      <w:pPr>
        <w:pStyle w:val="Georgia11spacing0after"/>
        <w:numPr>
          <w:ilvl w:val="0"/>
          <w:numId w:val="1"/>
        </w:numPr>
        <w:rPr>
          <w:i/>
          <w:lang w:val="nn-NO"/>
        </w:rPr>
      </w:pPr>
      <w:r w:rsidRPr="004D4ED1">
        <w:rPr>
          <w:i/>
          <w:lang w:val="nn-NO"/>
        </w:rPr>
        <w:t>Utvide talet på masterstudentar og</w:t>
      </w:r>
      <w:r w:rsidR="00E30811">
        <w:rPr>
          <w:i/>
          <w:lang w:val="nn-NO"/>
        </w:rPr>
        <w:t>/eller</w:t>
      </w:r>
      <w:r w:rsidRPr="004D4ED1">
        <w:rPr>
          <w:i/>
          <w:lang w:val="nn-NO"/>
        </w:rPr>
        <w:t xml:space="preserve"> opprette eit bachelor-program</w:t>
      </w:r>
    </w:p>
    <w:p w:rsidR="007E5773" w:rsidRDefault="007E5773" w:rsidP="007E5773">
      <w:pPr>
        <w:pStyle w:val="Georgia11spacing0after"/>
        <w:rPr>
          <w:lang w:val="nn-NO"/>
        </w:rPr>
      </w:pPr>
    </w:p>
    <w:p w:rsidR="007E5773" w:rsidRDefault="007E5773" w:rsidP="007E5773">
      <w:pPr>
        <w:pStyle w:val="Georgia11spacing0after"/>
        <w:rPr>
          <w:lang w:val="nn-NO"/>
        </w:rPr>
      </w:pPr>
      <w:r>
        <w:rPr>
          <w:lang w:val="nn-NO"/>
        </w:rPr>
        <w:t>Nye studentar vil auke basisløyvinga til TIK</w:t>
      </w:r>
      <w:r w:rsidR="00E30811">
        <w:rPr>
          <w:lang w:val="nn-NO"/>
        </w:rPr>
        <w:t xml:space="preserve"> (gjennom resultatkomponenten studiepoeng i fordelingsmodellen til SV-fakultetet)</w:t>
      </w:r>
      <w:r>
        <w:rPr>
          <w:lang w:val="nn-NO"/>
        </w:rPr>
        <w:t>. Ein bachelor</w:t>
      </w:r>
      <w:r w:rsidR="00F336AB">
        <w:rPr>
          <w:lang w:val="nn-NO"/>
        </w:rPr>
        <w:t>student vil gi senteret ei inntekt på NOK 39 000 og ein masterstudent gir i dag senteret ei inntekt på NOK 42 000.</w:t>
      </w:r>
    </w:p>
    <w:p w:rsidR="00F336AB" w:rsidRDefault="00F336AB" w:rsidP="007E5773">
      <w:pPr>
        <w:pStyle w:val="Georgia11spacing0after"/>
        <w:rPr>
          <w:lang w:val="nn-NO"/>
        </w:rPr>
      </w:pPr>
    </w:p>
    <w:p w:rsidR="00F336AB" w:rsidRDefault="00F336AB" w:rsidP="007E5773">
      <w:pPr>
        <w:pStyle w:val="Georgia11spacing0after"/>
        <w:rPr>
          <w:lang w:val="nn-NO"/>
        </w:rPr>
      </w:pPr>
      <w:r>
        <w:rPr>
          <w:lang w:val="nn-NO"/>
        </w:rPr>
        <w:t>Senteret har søkt om fem nye studieplassar til masterprogrammet, noko som vil gi i overkant av NOK 200 000 i ekstra årleg basis. Dei nye studentane kan tidlegast få opptak hausten 2018, og det vil kunne få effekt på basisløyvinga frå 2021.</w:t>
      </w:r>
    </w:p>
    <w:p w:rsidR="00F336AB" w:rsidRDefault="00F336AB" w:rsidP="007E5773">
      <w:pPr>
        <w:pStyle w:val="Georgia11spacing0after"/>
        <w:rPr>
          <w:lang w:val="nn-NO"/>
        </w:rPr>
      </w:pPr>
    </w:p>
    <w:p w:rsidR="007E5773" w:rsidRDefault="00F336AB" w:rsidP="007E5773">
      <w:pPr>
        <w:pStyle w:val="Georgia11spacing0after"/>
        <w:rPr>
          <w:lang w:val="nn-NO"/>
        </w:rPr>
      </w:pPr>
      <w:r>
        <w:rPr>
          <w:lang w:val="nn-NO"/>
        </w:rPr>
        <w:t>Dersom vi får eit bachelor-program med 30 studentar på plass, kan vi forvente ein årleg auke i basisløyvinga på NOK 1 170 000.</w:t>
      </w:r>
      <w:r w:rsidR="004D4ED1">
        <w:rPr>
          <w:lang w:val="nn-NO"/>
        </w:rPr>
        <w:t xml:space="preserve"> Dette vil dekke ein heil professorstilling.</w:t>
      </w:r>
    </w:p>
    <w:p w:rsidR="00E30811" w:rsidRDefault="00E30811" w:rsidP="007E5773">
      <w:pPr>
        <w:pStyle w:val="Georgia11spacing0after"/>
        <w:rPr>
          <w:lang w:val="nn-NO"/>
        </w:rPr>
      </w:pPr>
    </w:p>
    <w:p w:rsidR="00E30811" w:rsidRDefault="00E30811" w:rsidP="007E5773">
      <w:pPr>
        <w:pStyle w:val="Georgia11spacing0after"/>
        <w:rPr>
          <w:lang w:val="nn-NO"/>
        </w:rPr>
      </w:pPr>
      <w:r>
        <w:rPr>
          <w:lang w:val="nn-NO"/>
        </w:rPr>
        <w:t>Ein ekspansjon av TIK sine utdanningsaktivitetar på master- og/eller bacholornivå vil ha ein positiv effekt på scenarioa som er presenterte over, og vil på sikt kunne sikre ei økonomisk berekraftig langtidsprognose.</w:t>
      </w:r>
    </w:p>
    <w:p w:rsidR="00E30811" w:rsidRDefault="00E30811" w:rsidP="007E5773">
      <w:pPr>
        <w:pStyle w:val="Georgia11spacing0after"/>
        <w:rPr>
          <w:lang w:val="nn-NO"/>
        </w:rPr>
      </w:pPr>
    </w:p>
    <w:p w:rsidR="007E5773" w:rsidRPr="004D4ED1" w:rsidRDefault="007E5773" w:rsidP="007E5773">
      <w:pPr>
        <w:pStyle w:val="Georgia11spacing0after"/>
        <w:numPr>
          <w:ilvl w:val="0"/>
          <w:numId w:val="1"/>
        </w:numPr>
        <w:rPr>
          <w:i/>
          <w:lang w:val="nn-NO"/>
        </w:rPr>
      </w:pPr>
      <w:r w:rsidRPr="004D4ED1">
        <w:rPr>
          <w:i/>
          <w:lang w:val="nn-NO"/>
        </w:rPr>
        <w:lastRenderedPageBreak/>
        <w:t>Nye prosjekt med EU-finansiering</w:t>
      </w:r>
    </w:p>
    <w:p w:rsidR="00F336AB" w:rsidRDefault="00F336AB" w:rsidP="00F336AB">
      <w:pPr>
        <w:pStyle w:val="Georgia11spacing0after"/>
        <w:rPr>
          <w:lang w:val="nn-NO"/>
        </w:rPr>
      </w:pPr>
    </w:p>
    <w:p w:rsidR="00F336AB" w:rsidRDefault="004C48C8" w:rsidP="00F336AB">
      <w:pPr>
        <w:pStyle w:val="Georgia11spacing0after"/>
        <w:rPr>
          <w:lang w:val="nn-NO"/>
        </w:rPr>
      </w:pPr>
      <w:r>
        <w:rPr>
          <w:lang w:val="nn-NO"/>
        </w:rPr>
        <w:t>Som omtalt tidlegare, generer p</w:t>
      </w:r>
      <w:r w:rsidR="00F336AB">
        <w:rPr>
          <w:lang w:val="nn-NO"/>
        </w:rPr>
        <w:t xml:space="preserve">rosjekt med EU-finansiering basisinntekter på to måtar ved UiO. </w:t>
      </w:r>
      <w:r>
        <w:rPr>
          <w:lang w:val="nn-NO"/>
        </w:rPr>
        <w:t>Senter/institutt</w:t>
      </w:r>
      <w:r w:rsidR="00F336AB">
        <w:rPr>
          <w:lang w:val="nn-NO"/>
        </w:rPr>
        <w:t xml:space="preserve"> får ein årleg sum</w:t>
      </w:r>
      <w:r>
        <w:rPr>
          <w:lang w:val="nn-NO"/>
        </w:rPr>
        <w:t xml:space="preserve"> i prosjektperioden som varierer frå NOK 400 000 til NOK 800 000 for «Starting Grants», «Consolidator Grants» og «Advanced Grants». I tillegg får senter/institutt ved SV-fakultetet 60 øre for kvar prosjektkrone som er bokført som inntekt. Dette saman med ein høgare overhead-sats, gjer slike prosjekt særs lukrative. Nye EU-prosjekt til TIK, vil </w:t>
      </w:r>
      <w:r w:rsidR="004D4ED1">
        <w:rPr>
          <w:lang w:val="nn-NO"/>
        </w:rPr>
        <w:t>ha ein positiv effekt på scenarioa som er pre</w:t>
      </w:r>
      <w:r w:rsidR="00E30811">
        <w:rPr>
          <w:lang w:val="nn-NO"/>
        </w:rPr>
        <w:t>sentert over og på si</w:t>
      </w:r>
      <w:r w:rsidR="00E335ED">
        <w:rPr>
          <w:lang w:val="nn-NO"/>
        </w:rPr>
        <w:t>kt bidra til at verksemda ved TIK vert økonomisk berekraftig.</w:t>
      </w:r>
      <w:bookmarkStart w:id="3" w:name="_GoBack"/>
      <w:bookmarkEnd w:id="3"/>
    </w:p>
    <w:p w:rsidR="004C48C8" w:rsidRDefault="004C48C8" w:rsidP="00F336AB">
      <w:pPr>
        <w:pStyle w:val="Georgia11spacing0after"/>
        <w:rPr>
          <w:lang w:val="nn-NO"/>
        </w:rPr>
      </w:pPr>
    </w:p>
    <w:p w:rsidR="004C48C8" w:rsidRPr="00937054" w:rsidRDefault="004C48C8" w:rsidP="00F336AB">
      <w:pPr>
        <w:pStyle w:val="Georgia11spacing0after"/>
        <w:rPr>
          <w:lang w:val="nn-NO"/>
        </w:rPr>
      </w:pPr>
    </w:p>
    <w:sectPr w:rsidR="004C48C8" w:rsidRPr="00937054" w:rsidSect="00325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AC" w:rsidRDefault="00733EAC" w:rsidP="006F2626">
      <w:pPr>
        <w:spacing w:after="0" w:line="240" w:lineRule="auto"/>
      </w:pPr>
      <w:r>
        <w:separator/>
      </w:r>
    </w:p>
  </w:endnote>
  <w:endnote w:type="continuationSeparator" w:id="0">
    <w:p w:rsidR="00733EAC" w:rsidRDefault="00733EAC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AC" w:rsidRDefault="00733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AC" w:rsidRPr="004416D1" w:rsidRDefault="00733EAC" w:rsidP="00856A20">
    <w:pPr>
      <w:pStyle w:val="Footer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733EAC" w:rsidRPr="00296BD0" w:rsidTr="00326DE7">
      <w:trPr>
        <w:trHeight w:hRule="exact" w:val="1219"/>
      </w:trPr>
      <w:tc>
        <w:tcPr>
          <w:tcW w:w="3614" w:type="dxa"/>
        </w:tcPr>
        <w:p w:rsidR="00733EAC" w:rsidRDefault="00733EAC" w:rsidP="00966C18">
          <w:pPr>
            <w:pStyle w:val="Georgia9BoldBunntekst"/>
          </w:pPr>
          <w:bookmarkStart w:id="6" w:name="ADMBETEGNELSE"/>
          <w:r>
            <w:t>TIK Senter for teknologi, innovasjon og kultur</w:t>
          </w:r>
          <w:bookmarkEnd w:id="6"/>
        </w:p>
        <w:p w:rsidR="00733EAC" w:rsidRPr="00296BD0" w:rsidRDefault="00733EAC" w:rsidP="00FB462F">
          <w:pPr>
            <w:pStyle w:val="Georigia9Bunntekst"/>
          </w:pPr>
          <w:r>
            <w:rPr>
              <w:rFonts w:eastAsia="Times New Roman" w:cs="Arial"/>
              <w:color w:val="000000"/>
            </w:rPr>
            <w:t>P</w:t>
          </w:r>
          <w:r w:rsidRPr="00296BD0">
            <w:rPr>
              <w:rFonts w:eastAsia="Times New Roman" w:cs="Arial"/>
              <w:color w:val="000000"/>
            </w:rPr>
            <w:t xml:space="preserve">ostadr.: </w:t>
          </w:r>
          <w:bookmarkStart w:id="7" w:name="ADMPOSTADRESSE"/>
          <w:r>
            <w:rPr>
              <w:rFonts w:eastAsia="Times New Roman" w:cs="Arial"/>
              <w:color w:val="000000"/>
            </w:rPr>
            <w:t>Postboks 1108 Blindern</w:t>
          </w:r>
          <w:bookmarkEnd w:id="7"/>
          <w:r>
            <w:rPr>
              <w:rFonts w:eastAsia="Times New Roman" w:cs="Arial"/>
              <w:color w:val="000000"/>
            </w:rPr>
            <w:t xml:space="preserve">, </w:t>
          </w:r>
          <w:bookmarkStart w:id="8" w:name="ADMPOSTNR"/>
          <w:r>
            <w:rPr>
              <w:rFonts w:eastAsia="Times New Roman" w:cs="Arial"/>
              <w:color w:val="000000"/>
            </w:rPr>
            <w:t>0317</w:t>
          </w:r>
          <w:bookmarkEnd w:id="8"/>
          <w:r>
            <w:rPr>
              <w:rFonts w:eastAsia="Times New Roman" w:cs="Arial"/>
              <w:color w:val="000000"/>
            </w:rPr>
            <w:t xml:space="preserve"> </w:t>
          </w:r>
          <w:bookmarkStart w:id="9" w:name="ADMPOSTSTED"/>
          <w:r>
            <w:rPr>
              <w:rFonts w:eastAsia="Times New Roman" w:cs="Arial"/>
              <w:color w:val="000000"/>
            </w:rPr>
            <w:t>Oslo</w:t>
          </w:r>
          <w:bookmarkEnd w:id="9"/>
        </w:p>
        <w:p w:rsidR="00733EAC" w:rsidRPr="00296BD0" w:rsidRDefault="00733EAC" w:rsidP="00FB462F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id="10" w:name="ADMBESØKSADRESSE"/>
          <w:r>
            <w:t>Eilert Sundts hus 5 et, Moltke Moes vei 31, 0851 Oslo</w:t>
          </w:r>
          <w:bookmarkEnd w:id="10"/>
        </w:p>
      </w:tc>
      <w:tc>
        <w:tcPr>
          <w:tcW w:w="3615" w:type="dxa"/>
          <w:tcMar>
            <w:left w:w="85" w:type="dxa"/>
          </w:tcMar>
        </w:tcPr>
        <w:p w:rsidR="00733EAC" w:rsidRPr="00296BD0" w:rsidRDefault="00733EAC" w:rsidP="00FB462F">
          <w:pPr>
            <w:pStyle w:val="Georigia9Bunntekst"/>
          </w:pPr>
          <w:r w:rsidRPr="00296BD0">
            <w:t xml:space="preserve">Telefon: </w:t>
          </w:r>
          <w:bookmarkStart w:id="11" w:name="ADMTELEFON"/>
          <w:r>
            <w:t>22 84 16 00</w:t>
          </w:r>
          <w:bookmarkEnd w:id="11"/>
        </w:p>
        <w:p w:rsidR="00733EAC" w:rsidRPr="00296BD0" w:rsidRDefault="00733EAC" w:rsidP="00FB462F">
          <w:pPr>
            <w:pStyle w:val="Georigia9Bunntekst"/>
          </w:pPr>
          <w:r w:rsidRPr="00296BD0">
            <w:t xml:space="preserve">Telefaks: </w:t>
          </w:r>
          <w:bookmarkStart w:id="12" w:name="ADMTELEFAKS"/>
          <w:r>
            <w:t>22 84 16 01</w:t>
          </w:r>
          <w:bookmarkEnd w:id="12"/>
        </w:p>
        <w:p w:rsidR="00733EAC" w:rsidRPr="00296BD0" w:rsidRDefault="00733EAC" w:rsidP="00FB462F">
          <w:pPr>
            <w:pStyle w:val="Georigia9Bunntekst"/>
          </w:pPr>
          <w:bookmarkStart w:id="13" w:name="ADMEMAILADRESSE"/>
          <w:r>
            <w:t>postmottak@sv.uio.no</w:t>
          </w:r>
          <w:bookmarkEnd w:id="13"/>
        </w:p>
        <w:p w:rsidR="00733EAC" w:rsidRDefault="00733EAC" w:rsidP="00FB462F">
          <w:pPr>
            <w:pStyle w:val="Georigia9Bunntekst"/>
          </w:pPr>
          <w:bookmarkStart w:id="14" w:name="ADMPOSTGIRO"/>
          <w:r>
            <w:t>www.sv.uio.no</w:t>
          </w:r>
          <w:bookmarkEnd w:id="14"/>
        </w:p>
        <w:p w:rsidR="00733EAC" w:rsidRPr="00296BD0" w:rsidRDefault="00733EAC" w:rsidP="00FB462F">
          <w:pPr>
            <w:pStyle w:val="Georigia9Bunntekst"/>
          </w:pPr>
          <w:r>
            <w:t>Org.nr.: 971 035 854</w:t>
          </w:r>
        </w:p>
      </w:tc>
    </w:tr>
  </w:tbl>
  <w:p w:rsidR="00733EAC" w:rsidRPr="00296BD0" w:rsidRDefault="00733EAC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nn-NO" w:eastAsia="nn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AC" w:rsidRDefault="00733EAC" w:rsidP="006F2626">
      <w:pPr>
        <w:spacing w:after="0" w:line="240" w:lineRule="auto"/>
      </w:pPr>
      <w:r>
        <w:separator/>
      </w:r>
    </w:p>
  </w:footnote>
  <w:footnote w:type="continuationSeparator" w:id="0">
    <w:p w:rsidR="00733EAC" w:rsidRDefault="00733EAC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AC" w:rsidRDefault="00733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AC" w:rsidRPr="00AC4272" w:rsidRDefault="00733EAC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nn-NO" w:eastAsia="nn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E335ED">
      <w:rPr>
        <w:rFonts w:ascii="Georgia" w:hAnsi="Georgia"/>
        <w:noProof/>
      </w:rPr>
      <w:t>7</w:t>
    </w:r>
    <w:r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733EAC" w:rsidRPr="00CB1F83" w:rsidTr="005F6C42">
      <w:tc>
        <w:tcPr>
          <w:tcW w:w="8890" w:type="dxa"/>
        </w:tcPr>
        <w:p w:rsidR="00733EAC" w:rsidRPr="00CB1F83" w:rsidRDefault="00733EAC" w:rsidP="00340EA5">
          <w:pPr>
            <w:pStyle w:val="Topptekstlinje1"/>
          </w:pPr>
          <w:bookmarkStart w:id="4" w:name="ADMBETEGNELSE_2R"/>
          <w:r>
            <w:t>Det samfunnsvitenskapelige fakultet</w:t>
          </w:r>
          <w:bookmarkEnd w:id="4"/>
          <w:r>
            <w:rPr>
              <w:b w:val="0"/>
              <w:noProof/>
              <w:lang w:val="nn-NO" w:eastAsia="nn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33EAC" w:rsidTr="005F6C42">
      <w:tc>
        <w:tcPr>
          <w:tcW w:w="8890" w:type="dxa"/>
        </w:tcPr>
        <w:p w:rsidR="00733EAC" w:rsidRDefault="00733EAC" w:rsidP="00FB462F">
          <w:pPr>
            <w:pStyle w:val="Topptekstlinje2"/>
          </w:pPr>
          <w:bookmarkStart w:id="5" w:name="ADMBETEGNELSE_1R"/>
          <w:r>
            <w:t>Universitetet i Oslo</w:t>
          </w:r>
          <w:bookmarkEnd w:id="5"/>
        </w:p>
      </w:tc>
    </w:tr>
  </w:tbl>
  <w:p w:rsidR="00733EAC" w:rsidRPr="00AA7420" w:rsidRDefault="00733EAC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nn-NO" w:eastAsia="nn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nn-NO" w:eastAsia="nn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F048C"/>
    <w:multiLevelType w:val="hybridMultilevel"/>
    <w:tmpl w:val="65CEFBC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1C"/>
    <w:rsid w:val="00025304"/>
    <w:rsid w:val="00032347"/>
    <w:rsid w:val="00040733"/>
    <w:rsid w:val="000532F9"/>
    <w:rsid w:val="00053C1C"/>
    <w:rsid w:val="000711C4"/>
    <w:rsid w:val="000838D4"/>
    <w:rsid w:val="00083C87"/>
    <w:rsid w:val="00090576"/>
    <w:rsid w:val="000C5ED5"/>
    <w:rsid w:val="000E66F6"/>
    <w:rsid w:val="000F3ED6"/>
    <w:rsid w:val="00121A68"/>
    <w:rsid w:val="00147EC9"/>
    <w:rsid w:val="001A43FF"/>
    <w:rsid w:val="001A63F3"/>
    <w:rsid w:val="001C3144"/>
    <w:rsid w:val="001C53D1"/>
    <w:rsid w:val="001E1FD6"/>
    <w:rsid w:val="001F1691"/>
    <w:rsid w:val="001F2CDA"/>
    <w:rsid w:val="00202A26"/>
    <w:rsid w:val="0020706A"/>
    <w:rsid w:val="002308E6"/>
    <w:rsid w:val="00245C77"/>
    <w:rsid w:val="0025292B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81B02"/>
    <w:rsid w:val="00385FD5"/>
    <w:rsid w:val="0038680F"/>
    <w:rsid w:val="003A733F"/>
    <w:rsid w:val="003B4B8A"/>
    <w:rsid w:val="003C63DE"/>
    <w:rsid w:val="003D217B"/>
    <w:rsid w:val="00412561"/>
    <w:rsid w:val="00415BC1"/>
    <w:rsid w:val="004213D6"/>
    <w:rsid w:val="00432910"/>
    <w:rsid w:val="004416D1"/>
    <w:rsid w:val="00442127"/>
    <w:rsid w:val="00442F10"/>
    <w:rsid w:val="00471DAC"/>
    <w:rsid w:val="00472B98"/>
    <w:rsid w:val="00483FE9"/>
    <w:rsid w:val="004A1052"/>
    <w:rsid w:val="004B6046"/>
    <w:rsid w:val="004C48C8"/>
    <w:rsid w:val="004D4ED1"/>
    <w:rsid w:val="004D63A6"/>
    <w:rsid w:val="004E10D2"/>
    <w:rsid w:val="004E69B4"/>
    <w:rsid w:val="004F44DB"/>
    <w:rsid w:val="00503DE0"/>
    <w:rsid w:val="00506505"/>
    <w:rsid w:val="00507BAE"/>
    <w:rsid w:val="0051239B"/>
    <w:rsid w:val="0053482F"/>
    <w:rsid w:val="00542E12"/>
    <w:rsid w:val="00555487"/>
    <w:rsid w:val="005572B8"/>
    <w:rsid w:val="005669BB"/>
    <w:rsid w:val="005747FB"/>
    <w:rsid w:val="005775EB"/>
    <w:rsid w:val="00582B29"/>
    <w:rsid w:val="005B3657"/>
    <w:rsid w:val="005C2A21"/>
    <w:rsid w:val="005E0D18"/>
    <w:rsid w:val="005F6C42"/>
    <w:rsid w:val="00601F3F"/>
    <w:rsid w:val="00611DAB"/>
    <w:rsid w:val="00621703"/>
    <w:rsid w:val="00624A1D"/>
    <w:rsid w:val="00630C2C"/>
    <w:rsid w:val="00637134"/>
    <w:rsid w:val="00646C8D"/>
    <w:rsid w:val="006513AB"/>
    <w:rsid w:val="0068185C"/>
    <w:rsid w:val="0069792F"/>
    <w:rsid w:val="006B2A25"/>
    <w:rsid w:val="006C162F"/>
    <w:rsid w:val="006C4552"/>
    <w:rsid w:val="006F2626"/>
    <w:rsid w:val="00707411"/>
    <w:rsid w:val="007165D3"/>
    <w:rsid w:val="0072108B"/>
    <w:rsid w:val="007322A0"/>
    <w:rsid w:val="00733EAC"/>
    <w:rsid w:val="00737E2C"/>
    <w:rsid w:val="00751529"/>
    <w:rsid w:val="0076588D"/>
    <w:rsid w:val="00770B57"/>
    <w:rsid w:val="007816E8"/>
    <w:rsid w:val="00783D0C"/>
    <w:rsid w:val="007A1956"/>
    <w:rsid w:val="007A5E67"/>
    <w:rsid w:val="007E4DBD"/>
    <w:rsid w:val="007E5442"/>
    <w:rsid w:val="007E5773"/>
    <w:rsid w:val="007F1A02"/>
    <w:rsid w:val="007F240E"/>
    <w:rsid w:val="0080518E"/>
    <w:rsid w:val="00824F55"/>
    <w:rsid w:val="00856A20"/>
    <w:rsid w:val="008766DC"/>
    <w:rsid w:val="00877D9C"/>
    <w:rsid w:val="00883A2A"/>
    <w:rsid w:val="008A7F35"/>
    <w:rsid w:val="008C43B7"/>
    <w:rsid w:val="008D4F3B"/>
    <w:rsid w:val="008D547F"/>
    <w:rsid w:val="00900188"/>
    <w:rsid w:val="00921DBC"/>
    <w:rsid w:val="00932FA4"/>
    <w:rsid w:val="00937054"/>
    <w:rsid w:val="0095053A"/>
    <w:rsid w:val="0096155B"/>
    <w:rsid w:val="00966C18"/>
    <w:rsid w:val="00982A88"/>
    <w:rsid w:val="00985D89"/>
    <w:rsid w:val="00985D9C"/>
    <w:rsid w:val="009A2881"/>
    <w:rsid w:val="009D07FC"/>
    <w:rsid w:val="009D4C81"/>
    <w:rsid w:val="009E7795"/>
    <w:rsid w:val="009F2505"/>
    <w:rsid w:val="009F58B9"/>
    <w:rsid w:val="00A40D47"/>
    <w:rsid w:val="00A4466F"/>
    <w:rsid w:val="00A46423"/>
    <w:rsid w:val="00A62B82"/>
    <w:rsid w:val="00A64486"/>
    <w:rsid w:val="00A7494C"/>
    <w:rsid w:val="00A83BEE"/>
    <w:rsid w:val="00A93757"/>
    <w:rsid w:val="00AA7420"/>
    <w:rsid w:val="00AB4890"/>
    <w:rsid w:val="00AC4272"/>
    <w:rsid w:val="00AE46FF"/>
    <w:rsid w:val="00AE6604"/>
    <w:rsid w:val="00B43027"/>
    <w:rsid w:val="00B54662"/>
    <w:rsid w:val="00B67D5C"/>
    <w:rsid w:val="00B74C8D"/>
    <w:rsid w:val="00B93ADD"/>
    <w:rsid w:val="00BB5CDD"/>
    <w:rsid w:val="00BE2551"/>
    <w:rsid w:val="00C1524A"/>
    <w:rsid w:val="00C23CF2"/>
    <w:rsid w:val="00C23F95"/>
    <w:rsid w:val="00C247D6"/>
    <w:rsid w:val="00C37D1F"/>
    <w:rsid w:val="00C64193"/>
    <w:rsid w:val="00C80BE7"/>
    <w:rsid w:val="00C80F67"/>
    <w:rsid w:val="00C820B6"/>
    <w:rsid w:val="00C91389"/>
    <w:rsid w:val="00CD16CE"/>
    <w:rsid w:val="00CD188B"/>
    <w:rsid w:val="00CE3AA8"/>
    <w:rsid w:val="00D60ECA"/>
    <w:rsid w:val="00D6207B"/>
    <w:rsid w:val="00D77481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E30811"/>
    <w:rsid w:val="00E335ED"/>
    <w:rsid w:val="00E63149"/>
    <w:rsid w:val="00E77FDC"/>
    <w:rsid w:val="00EA1493"/>
    <w:rsid w:val="00EC503D"/>
    <w:rsid w:val="00ED2770"/>
    <w:rsid w:val="00ED345C"/>
    <w:rsid w:val="00EE6F9C"/>
    <w:rsid w:val="00EF541D"/>
    <w:rsid w:val="00F00100"/>
    <w:rsid w:val="00F03B1C"/>
    <w:rsid w:val="00F26702"/>
    <w:rsid w:val="00F336AB"/>
    <w:rsid w:val="00F54A1E"/>
    <w:rsid w:val="00F61E56"/>
    <w:rsid w:val="00F94B45"/>
    <w:rsid w:val="00FA06C0"/>
    <w:rsid w:val="00FA47BA"/>
    <w:rsid w:val="00FB462F"/>
    <w:rsid w:val="00FC1D74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0C9CB09"/>
  <w15:chartTrackingRefBased/>
  <w15:docId w15:val="{FD20914E-6B6F-4C6D-A0D6-66880E02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val="nb-N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C87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083C87"/>
    <w:rPr>
      <w:rFonts w:ascii="Cambria" w:eastAsia="SimSun" w:hAnsi="Cambria"/>
      <w:b/>
      <w:bCs/>
      <w:kern w:val="32"/>
      <w:sz w:val="32"/>
      <w:szCs w:val="32"/>
      <w:lang w:val="nb-NO" w:eastAsia="en-US"/>
    </w:rPr>
  </w:style>
  <w:style w:type="paragraph" w:customStyle="1" w:styleId="gp-tekst">
    <w:name w:val="gp-tekst"/>
    <w:basedOn w:val="Normal"/>
    <w:rsid w:val="00FA47BA"/>
    <w:pPr>
      <w:spacing w:after="0" w:line="240" w:lineRule="auto"/>
    </w:pPr>
    <w:rPr>
      <w:rFonts w:ascii="Times" w:eastAsia="Times New Roman" w:hAnsi="Times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semiHidden/>
    <w:qFormat/>
    <w:rsid w:val="009D07FC"/>
    <w:pPr>
      <w:ind w:left="720"/>
      <w:contextualSpacing/>
    </w:pPr>
  </w:style>
  <w:style w:type="table" w:styleId="PlainTable3">
    <w:name w:val="Plain Table 3"/>
    <w:basedOn w:val="TableNormal"/>
    <w:uiPriority w:val="43"/>
    <w:rsid w:val="007816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816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B16B8565.dotm</Template>
  <TotalTime>377</TotalTime>
  <Pages>7</Pages>
  <Words>1892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Cathrine Wesnes</dc:creator>
  <cp:keywords/>
  <cp:lastModifiedBy>Frode Løvik</cp:lastModifiedBy>
  <cp:revision>7</cp:revision>
  <cp:lastPrinted>2017-06-07T08:58:00Z</cp:lastPrinted>
  <dcterms:created xsi:type="dcterms:W3CDTF">2017-06-02T14:40:00Z</dcterms:created>
  <dcterms:modified xsi:type="dcterms:W3CDTF">2017-06-07T10:28:00Z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C:\ephorte\workfolder\uio.ephorte.uninett.no\UIOPROD\88_EphTranslate_ny.dot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C:\ephorte\workfolder\787337_DOC.XML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1014353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https%3a%2f%2fuio.ephorte.uninett.no%2fePhorteWeb%2fshared%2faspx%2fDefault%2fdetails.aspx%3ff%3dViewJP%26JP_ID%3d686770%26LoadDocHandling%3dtrue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C%3a%5cephorte%5cworkfolder%5c787337.DOC</vt:lpwstr>
  </property>
  <property fmtid="{D5CDD505-2E9C-101B-9397-08002B2CF9AE}" pid="15" name="LinkId">
    <vt:i4>686770</vt:i4>
  </property>
</Properties>
</file>