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84" w:rsidRPr="00096884" w:rsidRDefault="00096884" w:rsidP="00096884">
      <w:pPr>
        <w:outlineLvl w:val="0"/>
        <w:rPr>
          <w:rFonts w:ascii="Times New Roman" w:hAnsi="Times New Roman"/>
          <w:sz w:val="24"/>
          <w:szCs w:val="24"/>
        </w:rPr>
      </w:pPr>
      <w:r w:rsidRPr="00E607AF">
        <w:rPr>
          <w:rFonts w:ascii="Times New Roman" w:hAnsi="Times New Roman"/>
          <w:b/>
          <w:sz w:val="24"/>
          <w:szCs w:val="24"/>
        </w:rPr>
        <w:t>NOTAT</w:t>
      </w:r>
    </w:p>
    <w:p w:rsidR="00096884" w:rsidRDefault="007615A9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Til:  </w:t>
      </w:r>
      <w:r>
        <w:rPr>
          <w:sz w:val="24"/>
        </w:rPr>
        <w:tab/>
      </w:r>
      <w:r w:rsidR="00E100DB">
        <w:rPr>
          <w:sz w:val="24"/>
        </w:rPr>
        <w:t>Styret</w:t>
      </w:r>
    </w:p>
    <w:p w:rsidR="00913CDA" w:rsidRDefault="00113E3B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Fra: </w:t>
      </w:r>
      <w:r>
        <w:rPr>
          <w:sz w:val="24"/>
        </w:rPr>
        <w:tab/>
      </w:r>
      <w:r w:rsidR="00E100DB">
        <w:rPr>
          <w:sz w:val="24"/>
        </w:rPr>
        <w:t>Senterleder</w:t>
      </w:r>
    </w:p>
    <w:p w:rsid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Sakstype: </w:t>
      </w:r>
      <w:r>
        <w:rPr>
          <w:sz w:val="24"/>
        </w:rPr>
        <w:tab/>
        <w:t>Orientering</w:t>
      </w:r>
    </w:p>
    <w:p w:rsidR="00096884" w:rsidRDefault="00113E3B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Saksnr: </w:t>
      </w:r>
      <w:r>
        <w:rPr>
          <w:sz w:val="24"/>
        </w:rPr>
        <w:tab/>
      </w:r>
      <w:r w:rsidR="0050117D">
        <w:rPr>
          <w:sz w:val="24"/>
        </w:rPr>
        <w:t>26/2017</w:t>
      </w:r>
      <w:bookmarkStart w:id="0" w:name="_GoBack"/>
      <w:bookmarkEnd w:id="0"/>
    </w:p>
    <w:p w:rsidR="00913CDA" w:rsidRDefault="00913CDA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>Møtedato:</w:t>
      </w:r>
      <w:r w:rsidR="00E100DB">
        <w:rPr>
          <w:sz w:val="24"/>
        </w:rPr>
        <w:t xml:space="preserve"> </w:t>
      </w:r>
      <w:r w:rsidR="00E100DB">
        <w:rPr>
          <w:sz w:val="24"/>
        </w:rPr>
        <w:tab/>
      </w:r>
      <w:r w:rsidR="001F3628">
        <w:rPr>
          <w:sz w:val="24"/>
        </w:rPr>
        <w:t>5.12.2017</w:t>
      </w:r>
    </w:p>
    <w:p w:rsidR="00AA790D" w:rsidRP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Notatdato: </w:t>
      </w:r>
      <w:r w:rsidRPr="00096884">
        <w:rPr>
          <w:sz w:val="24"/>
        </w:rPr>
        <w:tab/>
      </w:r>
      <w:r w:rsidR="001F3628">
        <w:rPr>
          <w:sz w:val="24"/>
        </w:rPr>
        <w:t>27.11.17</w:t>
      </w:r>
    </w:p>
    <w:p w:rsidR="00096884" w:rsidRPr="00096884" w:rsidRDefault="00096884" w:rsidP="00096884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Saksbehandler: </w:t>
      </w:r>
      <w:r w:rsidRPr="00096884">
        <w:rPr>
          <w:sz w:val="24"/>
        </w:rPr>
        <w:tab/>
      </w:r>
      <w:r w:rsidR="00131E8D">
        <w:rPr>
          <w:sz w:val="24"/>
        </w:rPr>
        <w:t>Fredrik Emil Olsbu</w:t>
      </w:r>
      <w:r w:rsidR="007A25A6">
        <w:rPr>
          <w:sz w:val="24"/>
        </w:rPr>
        <w:t>/Frode Løvik</w:t>
      </w:r>
    </w:p>
    <w:p w:rsidR="00096884" w:rsidRDefault="00096884" w:rsidP="00096884">
      <w:pPr>
        <w:pStyle w:val="gp-tekst"/>
        <w:rPr>
          <w:sz w:val="22"/>
        </w:rPr>
      </w:pPr>
    </w:p>
    <w:p w:rsidR="00E419EB" w:rsidRDefault="00E419EB" w:rsidP="00E419EB">
      <w:pPr>
        <w:rPr>
          <w:b/>
        </w:rPr>
      </w:pPr>
    </w:p>
    <w:p w:rsidR="00E419EB" w:rsidRPr="00E419EB" w:rsidRDefault="00E419EB" w:rsidP="00E419EB">
      <w:pPr>
        <w:pStyle w:val="Heading1"/>
        <w:spacing w:line="360" w:lineRule="auto"/>
      </w:pPr>
      <w:r>
        <w:t>Regnskap per 31.10.2017</w:t>
      </w:r>
    </w:p>
    <w:p w:rsidR="00DF0CF6" w:rsidRDefault="00E419EB" w:rsidP="00DF0CF6">
      <w:pPr>
        <w:pStyle w:val="Heading2"/>
        <w:numPr>
          <w:ilvl w:val="0"/>
          <w:numId w:val="12"/>
        </w:numPr>
      </w:pPr>
      <w:r>
        <w:t>Samlet virksomhet</w:t>
      </w:r>
    </w:p>
    <w:p w:rsidR="00DF0CF6" w:rsidRPr="00DF0CF6" w:rsidRDefault="00DF0CF6" w:rsidP="00DF0CF6"/>
    <w:p w:rsidR="00E419EB" w:rsidRPr="00E419EB" w:rsidRDefault="00E419EB" w:rsidP="00E419EB">
      <w:pPr>
        <w:rPr>
          <w:sz w:val="18"/>
          <w:szCs w:val="18"/>
        </w:rPr>
      </w:pPr>
      <w:r w:rsidRPr="00E419EB">
        <w:rPr>
          <w:sz w:val="18"/>
          <w:szCs w:val="18"/>
        </w:rPr>
        <w:t>Tabell 1:Totalvirksomhet med delt inntekt eksterne/intern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778"/>
        <w:gridCol w:w="698"/>
        <w:gridCol w:w="747"/>
        <w:gridCol w:w="778"/>
        <w:gridCol w:w="912"/>
        <w:gridCol w:w="961"/>
        <w:gridCol w:w="747"/>
      </w:tblGrid>
      <w:tr w:rsidR="00E419EB" w:rsidRPr="00CB5077" w:rsidTr="008644EA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Totalvirksomhet(periodiserte inntekter)</w:t>
            </w:r>
          </w:p>
        </w:tc>
      </w:tr>
      <w:tr w:rsidR="00E419EB" w:rsidRPr="00CB5077" w:rsidTr="00E419EB">
        <w:trPr>
          <w:trHeight w:val="390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Per okt</w:t>
            </w:r>
          </w:p>
        </w:tc>
        <w:tc>
          <w:tcPr>
            <w:tcW w:w="14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Prognose 2017</w:t>
            </w:r>
          </w:p>
        </w:tc>
      </w:tr>
      <w:tr w:rsidR="00E419EB" w:rsidRPr="00CB5077" w:rsidTr="00E419EB">
        <w:trPr>
          <w:trHeight w:val="465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okt 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 okt 2017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okt 2016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Oppdatert årsprognose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E419EB" w:rsidRPr="00CB5077" w:rsidTr="00E419EB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-11 590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-10 612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-977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-11 034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-13 100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-14 195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-1 095</w:t>
            </w:r>
          </w:p>
        </w:tc>
      </w:tr>
      <w:tr w:rsidR="00E419EB" w:rsidRPr="00CB5077" w:rsidTr="00E419EB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Disponerte eksterne midler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-16 004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-20 017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4 013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-10 844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-24 466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-21 216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3 250</w:t>
            </w:r>
          </w:p>
        </w:tc>
      </w:tr>
      <w:tr w:rsidR="00E419EB" w:rsidRPr="00CB5077" w:rsidTr="00E419EB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19 691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24 870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-5 179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18 221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30 506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26 791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-3 715</w:t>
            </w:r>
          </w:p>
        </w:tc>
      </w:tr>
      <w:tr w:rsidR="00E419EB" w:rsidRPr="00CB5077" w:rsidTr="00E419EB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2 538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4 923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-2 385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2 093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6 089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5 405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-684</w:t>
            </w:r>
          </w:p>
        </w:tc>
      </w:tr>
      <w:tr w:rsidR="00E419EB" w:rsidRPr="00CB5077" w:rsidTr="00E419EB">
        <w:trPr>
          <w:trHeight w:val="315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E419EB" w:rsidRPr="00CB5077" w:rsidTr="00E419EB">
        <w:trPr>
          <w:trHeight w:val="4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-5 208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-720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-4 488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-1 428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-831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-3 075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-2 244</w:t>
            </w:r>
          </w:p>
        </w:tc>
      </w:tr>
      <w:tr w:rsidR="00E419EB" w:rsidRPr="00CB5077" w:rsidTr="00E419EB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164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164</w:t>
            </w:r>
          </w:p>
        </w:tc>
      </w:tr>
      <w:tr w:rsidR="00E419EB" w:rsidRPr="00CB5077" w:rsidTr="00E419EB">
        <w:trPr>
          <w:trHeight w:val="315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116</w:t>
            </w:r>
          </w:p>
        </w:tc>
      </w:tr>
      <w:tr w:rsidR="00E419EB" w:rsidRPr="00CB5077" w:rsidTr="00E419EB">
        <w:trPr>
          <w:trHeight w:val="315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-5 225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-751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-4 474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-1 428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-831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-2 795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-1 964</w:t>
            </w:r>
          </w:p>
        </w:tc>
      </w:tr>
      <w:tr w:rsidR="00E419EB" w:rsidRPr="00CB5077" w:rsidTr="00E419EB">
        <w:trPr>
          <w:trHeight w:val="315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-2 150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E419EB" w:rsidRPr="00CB5077" w:rsidTr="00E419EB">
        <w:trPr>
          <w:trHeight w:val="315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-8 523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-4 049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-4 474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-3 578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-4 128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-6 092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419EB" w:rsidRPr="00CB5077" w:rsidRDefault="00E419EB" w:rsidP="008644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B50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-1 964</w:t>
            </w:r>
          </w:p>
        </w:tc>
      </w:tr>
    </w:tbl>
    <w:p w:rsidR="00E419EB" w:rsidRPr="00AB0715" w:rsidRDefault="00E419EB" w:rsidP="00E419EB">
      <w:pPr>
        <w:spacing w:line="360" w:lineRule="auto"/>
        <w:outlineLvl w:val="0"/>
        <w:rPr>
          <w:rFonts w:ascii="Times New Roman" w:eastAsia="Times New Roman" w:hAnsi="Times New Roman"/>
          <w:i/>
          <w:color w:val="000000"/>
          <w:sz w:val="16"/>
          <w:szCs w:val="16"/>
          <w:lang w:eastAsia="nb-NO"/>
        </w:rPr>
      </w:pPr>
      <w:r w:rsidRPr="00AB0715">
        <w:rPr>
          <w:rFonts w:ascii="Times New Roman" w:eastAsia="Times New Roman" w:hAnsi="Times New Roman"/>
          <w:i/>
          <w:color w:val="000000"/>
          <w:sz w:val="16"/>
          <w:szCs w:val="16"/>
          <w:lang w:eastAsia="nb-NO"/>
        </w:rPr>
        <w:t>*Minus betegner inntekter. Minus i budsjettavvik viser underforbruk, eller økte inntekter, i forhold til budsjett.</w:t>
      </w:r>
    </w:p>
    <w:p w:rsidR="00E419EB" w:rsidRDefault="00E419EB" w:rsidP="00DF0CF6">
      <w:r>
        <w:t>Regnskapsrapporten per 31.10.2017 viser et betydelig bedre resultat enn budsjettert</w:t>
      </w:r>
      <w:r w:rsidR="001F3628">
        <w:t>,</w:t>
      </w:r>
      <w:r w:rsidR="001F3628" w:rsidRPr="001F3628">
        <w:t xml:space="preserve"> </w:t>
      </w:r>
      <w:r w:rsidR="001F3628">
        <w:t>som tilsvarende rapport for andre tertial</w:t>
      </w:r>
      <w:r>
        <w:t xml:space="preserve">. </w:t>
      </w:r>
      <w:r w:rsidR="00A97EB5">
        <w:t xml:space="preserve">Resultatet har bedret seg ytterligere </w:t>
      </w:r>
      <w:r w:rsidR="001F3628">
        <w:t xml:space="preserve">fra rapporten styret fikk i september, </w:t>
      </w:r>
      <w:r w:rsidR="00A97EB5">
        <w:t>som følge av tildeling av midler fra andre enheter ved UiO. Disse blir inntektsført i sin helhet ved mottak, men skal dekke kostn</w:t>
      </w:r>
      <w:r w:rsidR="001F3628">
        <w:t>ader som vil påløpe i 2018. P</w:t>
      </w:r>
      <w:r w:rsidR="00A97EB5">
        <w:t xml:space="preserve">rognosen for inntekter fra bevilgning </w:t>
      </w:r>
      <w:r w:rsidR="001F3628">
        <w:t xml:space="preserve">i 2017 </w:t>
      </w:r>
      <w:r w:rsidR="00A97EB5">
        <w:t>er derfor økt med NOK 1 040 000 fra forrige regnskapsrapport. Vi vil kommentere dette nærmere i møtet.</w:t>
      </w:r>
    </w:p>
    <w:p w:rsidR="0094116E" w:rsidRDefault="0094116E" w:rsidP="00DF0CF6">
      <w:r>
        <w:lastRenderedPageBreak/>
        <w:t xml:space="preserve">De eksternfinansierte prosjektene ble </w:t>
      </w:r>
      <w:r w:rsidR="001F3628">
        <w:t>kommentert</w:t>
      </w:r>
      <w:r>
        <w:t xml:space="preserve"> i regnskapsrapporten til styremøtet i september og kommenteres ikke ytterligere her. En oppdatering av </w:t>
      </w:r>
      <w:r w:rsidR="001F3628">
        <w:t>forventede</w:t>
      </w:r>
      <w:r>
        <w:t xml:space="preserve"> personal- og driftskostnader </w:t>
      </w:r>
      <w:r w:rsidR="001F3628">
        <w:t>i 2017, har ført til at</w:t>
      </w:r>
      <w:r>
        <w:t xml:space="preserve"> prognose</w:t>
      </w:r>
      <w:r w:rsidR="001F3628">
        <w:t>n</w:t>
      </w:r>
      <w:r>
        <w:t xml:space="preserve"> for årsresultetet</w:t>
      </w:r>
      <w:r w:rsidR="001F3628">
        <w:t xml:space="preserve"> er oppjustert</w:t>
      </w:r>
      <w:r>
        <w:t xml:space="preserve"> til et overskudd på NOK 2 795 000. Dette vil gi TIK-senteret en solid </w:t>
      </w:r>
      <w:r w:rsidR="001F3628">
        <w:t xml:space="preserve">akkumulert </w:t>
      </w:r>
      <w:r>
        <w:t>buffer som gir mulighet for å gjennomføre tiltak for å styrke senterets kapasitet</w:t>
      </w:r>
      <w:r w:rsidR="001F3628">
        <w:t xml:space="preserve"> fra 2018</w:t>
      </w:r>
      <w:r>
        <w:t>.</w:t>
      </w:r>
    </w:p>
    <w:p w:rsidR="00DF0CF6" w:rsidRPr="002772C4" w:rsidRDefault="00DF0CF6" w:rsidP="002772C4"/>
    <w:p w:rsidR="00DF0CF6" w:rsidRDefault="00B329BC" w:rsidP="00DF0CF6">
      <w:pPr>
        <w:pStyle w:val="Heading2"/>
        <w:numPr>
          <w:ilvl w:val="0"/>
          <w:numId w:val="12"/>
        </w:numPr>
      </w:pPr>
      <w:r w:rsidRPr="00DF0CF6">
        <w:t>Basisvirksomheten</w:t>
      </w:r>
    </w:p>
    <w:p w:rsidR="00DF0CF6" w:rsidRPr="00DF0CF6" w:rsidRDefault="00DF0CF6" w:rsidP="00DF0CF6"/>
    <w:p w:rsidR="00752C14" w:rsidRDefault="00752C14" w:rsidP="00B329BC">
      <w:pPr>
        <w:pStyle w:val="Caption"/>
        <w:keepNext/>
        <w:spacing w:after="0" w:line="360" w:lineRule="auto"/>
      </w:pPr>
      <w:r>
        <w:t xml:space="preserve">Tabell </w:t>
      </w:r>
      <w:r w:rsidR="0094116E">
        <w:t>2</w:t>
      </w:r>
      <w:r w:rsidR="00902291">
        <w:t>: Resultat på basis for 20</w:t>
      </w:r>
      <w:r w:rsidR="009C4B36">
        <w:t>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037"/>
        <w:gridCol w:w="1039"/>
        <w:gridCol w:w="1037"/>
        <w:gridCol w:w="1040"/>
        <w:gridCol w:w="912"/>
        <w:gridCol w:w="961"/>
        <w:gridCol w:w="747"/>
      </w:tblGrid>
      <w:tr w:rsidR="000F1956" w:rsidRPr="000F1956" w:rsidTr="000F1956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Basisvirksomhet (bevilgningsfinansiert virksomhet, post 50)</w:t>
            </w:r>
          </w:p>
        </w:tc>
      </w:tr>
      <w:tr w:rsidR="000F1956" w:rsidRPr="000F1956" w:rsidTr="000F1956">
        <w:trPr>
          <w:trHeight w:val="37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Per okt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Prognose 2017</w:t>
            </w:r>
          </w:p>
        </w:tc>
      </w:tr>
      <w:tr w:rsidR="000F1956" w:rsidRPr="000F1956" w:rsidTr="000F1956">
        <w:trPr>
          <w:trHeight w:val="373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okt 2017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 okt 2017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okt 2016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Oppdatert årsprognose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-11 590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-10 612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-977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-11 034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-13 100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-14 195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-1 095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12 057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14 108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-2 052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17 224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16 226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-997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1 606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2 167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1 647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2 653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-130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F1956" w:rsidRPr="000F1956" w:rsidTr="000F1956">
        <w:trPr>
          <w:trHeight w:val="46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2 221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5 780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-3 559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4 013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7 047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4 825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-2 222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-7 327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-6 531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-796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-5 516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-7 878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-7 620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258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-5 225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-751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-4 474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-1 428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-831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-2 795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-1 964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-2 150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F1956" w:rsidRPr="000F1956" w:rsidTr="000F1956">
        <w:trPr>
          <w:trHeight w:val="30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-8 523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-4 049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-4 474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-3 578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-4 128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-6 092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-1 964</w:t>
            </w:r>
          </w:p>
        </w:tc>
      </w:tr>
    </w:tbl>
    <w:p w:rsidR="00DF0CF6" w:rsidRDefault="00DF0CF6" w:rsidP="00DF0CF6">
      <w:pPr>
        <w:spacing w:line="240" w:lineRule="auto"/>
        <w:rPr>
          <w:rFonts w:ascii="Times New Roman" w:eastAsia="Times New Roman" w:hAnsi="Times New Roman"/>
          <w:i/>
          <w:color w:val="000000"/>
          <w:szCs w:val="24"/>
          <w:lang w:eastAsia="nb-NO"/>
        </w:rPr>
      </w:pPr>
    </w:p>
    <w:p w:rsidR="00DF0CF6" w:rsidRPr="008644EA" w:rsidRDefault="00152CE8" w:rsidP="00DF0CF6">
      <w:pPr>
        <w:rPr>
          <w:rFonts w:cs="Calibri"/>
        </w:rPr>
      </w:pPr>
      <w:r w:rsidRPr="008644EA">
        <w:rPr>
          <w:rFonts w:cs="Calibri"/>
        </w:rPr>
        <w:t xml:space="preserve">Avviket for </w:t>
      </w:r>
      <w:r w:rsidR="00752FEE" w:rsidRPr="008644EA">
        <w:rPr>
          <w:rFonts w:cs="Calibri"/>
        </w:rPr>
        <w:t>i</w:t>
      </w:r>
      <w:r w:rsidR="00E24255" w:rsidRPr="008644EA">
        <w:rPr>
          <w:rFonts w:cs="Calibri"/>
        </w:rPr>
        <w:t xml:space="preserve">nntekter </w:t>
      </w:r>
      <w:r w:rsidRPr="008644EA">
        <w:rPr>
          <w:rFonts w:cs="Calibri"/>
        </w:rPr>
        <w:t xml:space="preserve">fra bevilgning er omtalt </w:t>
      </w:r>
      <w:r w:rsidR="001F3628">
        <w:rPr>
          <w:rFonts w:cs="Calibri"/>
        </w:rPr>
        <w:t>under punkt 1</w:t>
      </w:r>
      <w:r w:rsidRPr="008644EA">
        <w:rPr>
          <w:rFonts w:cs="Calibri"/>
        </w:rPr>
        <w:t xml:space="preserve">. Personalkostnadene </w:t>
      </w:r>
      <w:r w:rsidR="00752FEE" w:rsidRPr="008644EA">
        <w:rPr>
          <w:rFonts w:cs="Calibri"/>
        </w:rPr>
        <w:t xml:space="preserve">per oktober </w:t>
      </w:r>
      <w:r w:rsidRPr="008644EA">
        <w:rPr>
          <w:rFonts w:cs="Calibri"/>
        </w:rPr>
        <w:t xml:space="preserve">er betydelig lavere </w:t>
      </w:r>
      <w:r w:rsidR="005D1F4D" w:rsidRPr="008644EA">
        <w:rPr>
          <w:rFonts w:cs="Calibri"/>
        </w:rPr>
        <w:t xml:space="preserve">enn budsjettert. </w:t>
      </w:r>
      <w:r w:rsidRPr="008644EA">
        <w:rPr>
          <w:rFonts w:cs="Calibri"/>
        </w:rPr>
        <w:t xml:space="preserve">Dette skyldes senere oppstart i en del stillinger og en betydelig større refusjon av sykepenger </w:t>
      </w:r>
      <w:r w:rsidR="001F3628">
        <w:rPr>
          <w:rFonts w:cs="Calibri"/>
        </w:rPr>
        <w:t>enn budsjettert. Syke-</w:t>
      </w:r>
      <w:r w:rsidR="00752FEE" w:rsidRPr="008644EA">
        <w:rPr>
          <w:rFonts w:cs="Calibri"/>
        </w:rPr>
        <w:t xml:space="preserve"> og foreldrepengerefusjon står for over halvparten av avviket i forhold til periodisert budsjett.</w:t>
      </w:r>
    </w:p>
    <w:p w:rsidR="002772C4" w:rsidRPr="008644EA" w:rsidRDefault="00752FEE" w:rsidP="00DF0CF6">
      <w:pPr>
        <w:rPr>
          <w:rFonts w:cs="Calibri"/>
        </w:rPr>
      </w:pPr>
      <w:r w:rsidRPr="008644EA">
        <w:rPr>
          <w:rFonts w:cs="Calibri"/>
        </w:rPr>
        <w:t xml:space="preserve">For driftskostnader og </w:t>
      </w:r>
      <w:r w:rsidR="000179A3" w:rsidRPr="008644EA">
        <w:rPr>
          <w:rFonts w:cs="Calibri"/>
        </w:rPr>
        <w:t>investeringer</w:t>
      </w:r>
      <w:r w:rsidRPr="008644EA">
        <w:rPr>
          <w:rFonts w:cs="Calibri"/>
        </w:rPr>
        <w:t xml:space="preserve"> er det kun mindre avvik som forventes å bli mindre ved årsskiftet.</w:t>
      </w:r>
      <w:r w:rsidR="000179A3" w:rsidRPr="008644EA">
        <w:rPr>
          <w:rFonts w:cs="Calibri"/>
        </w:rPr>
        <w:t xml:space="preserve"> </w:t>
      </w:r>
      <w:r w:rsidRPr="008644EA">
        <w:rPr>
          <w:rFonts w:cs="Calibri"/>
        </w:rPr>
        <w:t>N</w:t>
      </w:r>
      <w:r w:rsidR="00E27B28" w:rsidRPr="008644EA">
        <w:rPr>
          <w:rFonts w:cs="Calibri"/>
        </w:rPr>
        <w:t>ettobidrag fra prosjekter</w:t>
      </w:r>
      <w:r w:rsidR="004B1C24" w:rsidRPr="008644EA">
        <w:rPr>
          <w:rFonts w:cs="Calibri"/>
        </w:rPr>
        <w:t xml:space="preserve"> </w:t>
      </w:r>
      <w:r w:rsidRPr="008644EA">
        <w:rPr>
          <w:rFonts w:cs="Calibri"/>
        </w:rPr>
        <w:t>ligger noe over periodisert budsjett per utgangen av oktober, men vi tar</w:t>
      </w:r>
      <w:r w:rsidR="00DF0CF6" w:rsidRPr="008644EA">
        <w:rPr>
          <w:rFonts w:cs="Calibri"/>
        </w:rPr>
        <w:t xml:space="preserve"> forbehold om prosjektjusteringer i forbindelse med</w:t>
      </w:r>
      <w:r w:rsidR="00F93C17">
        <w:rPr>
          <w:rFonts w:cs="Calibri"/>
        </w:rPr>
        <w:t xml:space="preserve"> årsskiftet og holder derfor </w:t>
      </w:r>
      <w:r w:rsidR="00DF0CF6" w:rsidRPr="008644EA">
        <w:rPr>
          <w:rFonts w:cs="Calibri"/>
        </w:rPr>
        <w:t>prognosen</w:t>
      </w:r>
      <w:r w:rsidR="00F93C17">
        <w:rPr>
          <w:rFonts w:cs="Calibri"/>
        </w:rPr>
        <w:t xml:space="preserve"> for 2017</w:t>
      </w:r>
      <w:r w:rsidR="00DF0CF6" w:rsidRPr="008644EA">
        <w:rPr>
          <w:rFonts w:cs="Calibri"/>
        </w:rPr>
        <w:t xml:space="preserve"> på et nøkternt nivå.</w:t>
      </w:r>
    </w:p>
    <w:p w:rsidR="00DF0CF6" w:rsidRPr="008644EA" w:rsidRDefault="00DF0CF6" w:rsidP="00DF0CF6">
      <w:pPr>
        <w:spacing w:line="240" w:lineRule="auto"/>
        <w:rPr>
          <w:rFonts w:cs="Calibri"/>
        </w:rPr>
      </w:pPr>
    </w:p>
    <w:p w:rsidR="00DF0CF6" w:rsidRPr="008644EA" w:rsidRDefault="00DF0CF6" w:rsidP="00DF0CF6">
      <w:pPr>
        <w:spacing w:line="240" w:lineRule="auto"/>
        <w:rPr>
          <w:rFonts w:cs="Calibri"/>
        </w:rPr>
      </w:pPr>
      <w:r w:rsidRPr="008644EA">
        <w:rPr>
          <w:rFonts w:cs="Calibri"/>
        </w:rPr>
        <w:br w:type="page"/>
      </w:r>
    </w:p>
    <w:p w:rsidR="00E332BE" w:rsidRDefault="00DF0CF6" w:rsidP="00DF0CF6">
      <w:pPr>
        <w:pStyle w:val="Heading2"/>
        <w:numPr>
          <w:ilvl w:val="0"/>
          <w:numId w:val="12"/>
        </w:numPr>
      </w:pPr>
      <w:r>
        <w:lastRenderedPageBreak/>
        <w:t xml:space="preserve"> Eksternfinansiert virksomhet</w:t>
      </w:r>
    </w:p>
    <w:p w:rsidR="00DF0CF6" w:rsidRDefault="00DF0CF6" w:rsidP="006E6259">
      <w:pPr>
        <w:pStyle w:val="Default"/>
        <w:spacing w:line="360" w:lineRule="auto"/>
        <w:ind w:right="-481"/>
        <w:rPr>
          <w:sz w:val="22"/>
        </w:rPr>
      </w:pPr>
    </w:p>
    <w:p w:rsidR="00E332BE" w:rsidRPr="00F93C17" w:rsidRDefault="00E332BE" w:rsidP="00F93C17">
      <w:pPr>
        <w:rPr>
          <w:sz w:val="18"/>
          <w:szCs w:val="18"/>
        </w:rPr>
      </w:pPr>
      <w:r w:rsidRPr="00F93C17">
        <w:rPr>
          <w:sz w:val="18"/>
          <w:szCs w:val="18"/>
        </w:rPr>
        <w:t xml:space="preserve">Tabell </w:t>
      </w:r>
      <w:r w:rsidR="00F93C17" w:rsidRPr="00F93C17">
        <w:rPr>
          <w:sz w:val="18"/>
          <w:szCs w:val="18"/>
        </w:rPr>
        <w:t>3: Eksternfinansiert virksomhet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778"/>
        <w:gridCol w:w="704"/>
        <w:gridCol w:w="747"/>
        <w:gridCol w:w="778"/>
        <w:gridCol w:w="912"/>
        <w:gridCol w:w="961"/>
        <w:gridCol w:w="747"/>
      </w:tblGrid>
      <w:tr w:rsidR="000F1956" w:rsidRPr="000F1956" w:rsidTr="000F1956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Eksternfinansiert virksomhet</w:t>
            </w:r>
          </w:p>
        </w:tc>
      </w:tr>
      <w:tr w:rsidR="000F1956" w:rsidRPr="000F1956" w:rsidTr="000F1956">
        <w:trPr>
          <w:trHeight w:val="375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Per okt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Prognose 2017</w:t>
            </w:r>
          </w:p>
        </w:tc>
      </w:tr>
      <w:tr w:rsidR="000F1956" w:rsidRPr="000F1956" w:rsidTr="000F1956">
        <w:trPr>
          <w:trHeight w:val="45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okt 2017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 okt 2017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avvik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Regnskap okt 2016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Årsbudsjett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Oppdatert årsprognose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Budsjett- endring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-16 427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-14 854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-1 574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-9 242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-21 752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-20 716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1 035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7 634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10 762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-3 127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4 894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13 282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10 565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-2 717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932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2 755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-1 823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3 306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2 752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-554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F1956" w:rsidRPr="000F1956" w:rsidTr="000F1956">
        <w:trPr>
          <w:trHeight w:val="46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-7 853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-1 337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-6 516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-3 840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-5 163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-7 399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-2 236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7 309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5 516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7 878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7 783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-94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116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-423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5 163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-5 587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1 601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2 715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-2 214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-10 631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-10 631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-8 820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-10 631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-10 631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F1956" w:rsidRPr="000F1956" w:rsidTr="000F1956">
        <w:trPr>
          <w:trHeight w:val="30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-11 054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-5 467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-5 587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-7 219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-7 916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-10 130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1956" w:rsidRPr="000F1956" w:rsidRDefault="000F1956" w:rsidP="000F19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F19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-2 214</w:t>
            </w:r>
          </w:p>
        </w:tc>
      </w:tr>
    </w:tbl>
    <w:p w:rsidR="00E332BE" w:rsidRDefault="00E332BE" w:rsidP="006E6259">
      <w:pPr>
        <w:pStyle w:val="Default"/>
        <w:spacing w:line="360" w:lineRule="auto"/>
        <w:ind w:right="-481"/>
        <w:rPr>
          <w:b/>
        </w:rPr>
      </w:pPr>
    </w:p>
    <w:p w:rsidR="00F93C17" w:rsidRPr="008644EA" w:rsidRDefault="00F93C17" w:rsidP="00F93C17">
      <w:pPr>
        <w:rPr>
          <w:rFonts w:cs="Calibri"/>
        </w:rPr>
      </w:pPr>
      <w:r>
        <w:rPr>
          <w:rFonts w:cs="Calibri"/>
        </w:rPr>
        <w:t>Tabell 3 viser status for den eksternfinansierte virksomheten ved TIK</w:t>
      </w:r>
      <w:r w:rsidRPr="008644EA">
        <w:rPr>
          <w:rFonts w:cs="Calibri"/>
        </w:rPr>
        <w:t>.</w:t>
      </w:r>
      <w:r>
        <w:rPr>
          <w:rFonts w:cs="Calibri"/>
        </w:rPr>
        <w:t xml:space="preserve"> Inntektene i denne tabellen er </w:t>
      </w:r>
      <w:r w:rsidR="00E24B09">
        <w:rPr>
          <w:rFonts w:cs="Calibri"/>
        </w:rPr>
        <w:t xml:space="preserve">bruttotall som </w:t>
      </w:r>
      <w:r>
        <w:rPr>
          <w:rFonts w:cs="Calibri"/>
        </w:rPr>
        <w:t xml:space="preserve">ikke </w:t>
      </w:r>
      <w:r w:rsidR="00E24B09">
        <w:rPr>
          <w:rFonts w:cs="Calibri"/>
        </w:rPr>
        <w:t xml:space="preserve">er </w:t>
      </w:r>
      <w:r>
        <w:rPr>
          <w:rFonts w:cs="Calibri"/>
        </w:rPr>
        <w:t xml:space="preserve">periodisert. Ved inngangen til 2017 </w:t>
      </w:r>
      <w:r w:rsidR="00E24B09">
        <w:rPr>
          <w:rFonts w:cs="Calibri"/>
        </w:rPr>
        <w:t xml:space="preserve">hadde TIK et beløp på NOK 10 631 000 i udisponerte prosjektmidler. Det tegner til at dette beløpet vil reduseres med NOK 500 000 til overgangen til 2018. </w:t>
      </w:r>
    </w:p>
    <w:p w:rsidR="00F93C17" w:rsidRDefault="00F93C17" w:rsidP="006E6259">
      <w:pPr>
        <w:pStyle w:val="Default"/>
        <w:spacing w:line="360" w:lineRule="auto"/>
        <w:ind w:right="-481"/>
        <w:rPr>
          <w:b/>
        </w:rPr>
      </w:pPr>
    </w:p>
    <w:p w:rsidR="00F62477" w:rsidRDefault="00F62477" w:rsidP="006E6259">
      <w:pPr>
        <w:pStyle w:val="Default"/>
        <w:spacing w:line="360" w:lineRule="auto"/>
        <w:ind w:right="-481"/>
        <w:rPr>
          <w:b/>
        </w:rPr>
      </w:pPr>
    </w:p>
    <w:p w:rsidR="00F62477" w:rsidRPr="00E332BE" w:rsidRDefault="00F62477" w:rsidP="006E6259">
      <w:pPr>
        <w:pStyle w:val="Default"/>
        <w:spacing w:line="360" w:lineRule="auto"/>
        <w:ind w:right="-481"/>
        <w:rPr>
          <w:b/>
        </w:rPr>
      </w:pPr>
    </w:p>
    <w:p w:rsidR="00F62477" w:rsidRDefault="00F62477" w:rsidP="00083C5E"/>
    <w:p w:rsidR="00F81D15" w:rsidRPr="00F62477" w:rsidRDefault="00F81D15" w:rsidP="00083C5E">
      <w:pPr>
        <w:rPr>
          <w:b/>
        </w:rPr>
      </w:pPr>
    </w:p>
    <w:sectPr w:rsidR="00F81D15" w:rsidRPr="00F62477" w:rsidSect="00E6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6E" w:rsidRDefault="00736D6E" w:rsidP="00043676">
      <w:pPr>
        <w:spacing w:after="0" w:line="240" w:lineRule="auto"/>
      </w:pPr>
      <w:r>
        <w:separator/>
      </w:r>
    </w:p>
  </w:endnote>
  <w:endnote w:type="continuationSeparator" w:id="0">
    <w:p w:rsidR="00736D6E" w:rsidRDefault="00736D6E" w:rsidP="000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6E" w:rsidRDefault="00736D6E" w:rsidP="00043676">
      <w:pPr>
        <w:spacing w:after="0" w:line="240" w:lineRule="auto"/>
      </w:pPr>
      <w:r>
        <w:separator/>
      </w:r>
    </w:p>
  </w:footnote>
  <w:footnote w:type="continuationSeparator" w:id="0">
    <w:p w:rsidR="00736D6E" w:rsidRDefault="00736D6E" w:rsidP="0004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B22"/>
    <w:multiLevelType w:val="hybridMultilevel"/>
    <w:tmpl w:val="F4340EBA"/>
    <w:lvl w:ilvl="0" w:tplc="DA7ED4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171"/>
    <w:multiLevelType w:val="hybridMultilevel"/>
    <w:tmpl w:val="41108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E2"/>
    <w:multiLevelType w:val="hybridMultilevel"/>
    <w:tmpl w:val="D49A9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CB0"/>
    <w:multiLevelType w:val="hybridMultilevel"/>
    <w:tmpl w:val="034CC640"/>
    <w:lvl w:ilvl="0" w:tplc="8D4E69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BC4"/>
    <w:multiLevelType w:val="hybridMultilevel"/>
    <w:tmpl w:val="0FC42C3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C6255A"/>
    <w:multiLevelType w:val="hybridMultilevel"/>
    <w:tmpl w:val="1F426D8A"/>
    <w:lvl w:ilvl="0" w:tplc="4C804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1714"/>
    <w:multiLevelType w:val="hybridMultilevel"/>
    <w:tmpl w:val="C1462F08"/>
    <w:lvl w:ilvl="0" w:tplc="6C8CC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06"/>
    <w:multiLevelType w:val="hybridMultilevel"/>
    <w:tmpl w:val="C8608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6642"/>
    <w:multiLevelType w:val="hybridMultilevel"/>
    <w:tmpl w:val="FB0CB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BA9"/>
    <w:multiLevelType w:val="hybridMultilevel"/>
    <w:tmpl w:val="D49AA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2C77"/>
    <w:multiLevelType w:val="hybridMultilevel"/>
    <w:tmpl w:val="BEEE3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02E3"/>
    <w:multiLevelType w:val="hybridMultilevel"/>
    <w:tmpl w:val="3B663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84"/>
    <w:rsid w:val="00001FBD"/>
    <w:rsid w:val="000079C3"/>
    <w:rsid w:val="000179A3"/>
    <w:rsid w:val="00022840"/>
    <w:rsid w:val="00027C6F"/>
    <w:rsid w:val="00030FC6"/>
    <w:rsid w:val="00031F9D"/>
    <w:rsid w:val="00040B07"/>
    <w:rsid w:val="00040B9C"/>
    <w:rsid w:val="00043676"/>
    <w:rsid w:val="00051CC8"/>
    <w:rsid w:val="000525FC"/>
    <w:rsid w:val="00054F31"/>
    <w:rsid w:val="000641ED"/>
    <w:rsid w:val="00065E76"/>
    <w:rsid w:val="00074CFE"/>
    <w:rsid w:val="00083C5E"/>
    <w:rsid w:val="00084493"/>
    <w:rsid w:val="00090807"/>
    <w:rsid w:val="00096884"/>
    <w:rsid w:val="000A5403"/>
    <w:rsid w:val="000A7878"/>
    <w:rsid w:val="000B4AB5"/>
    <w:rsid w:val="000B5BB3"/>
    <w:rsid w:val="000C232D"/>
    <w:rsid w:val="000C35E3"/>
    <w:rsid w:val="000C38B3"/>
    <w:rsid w:val="000D6FBE"/>
    <w:rsid w:val="000E3567"/>
    <w:rsid w:val="000E7C9F"/>
    <w:rsid w:val="000F1956"/>
    <w:rsid w:val="000F533F"/>
    <w:rsid w:val="00110982"/>
    <w:rsid w:val="00113E3B"/>
    <w:rsid w:val="00120F39"/>
    <w:rsid w:val="00124486"/>
    <w:rsid w:val="00131E8D"/>
    <w:rsid w:val="001349C2"/>
    <w:rsid w:val="00136034"/>
    <w:rsid w:val="00140C8F"/>
    <w:rsid w:val="00152CE8"/>
    <w:rsid w:val="00155C9D"/>
    <w:rsid w:val="00156278"/>
    <w:rsid w:val="0015733D"/>
    <w:rsid w:val="00157388"/>
    <w:rsid w:val="00163955"/>
    <w:rsid w:val="00165726"/>
    <w:rsid w:val="00171285"/>
    <w:rsid w:val="001749AF"/>
    <w:rsid w:val="0019115B"/>
    <w:rsid w:val="00191559"/>
    <w:rsid w:val="00193A80"/>
    <w:rsid w:val="00196581"/>
    <w:rsid w:val="001B4A14"/>
    <w:rsid w:val="001E6A6E"/>
    <w:rsid w:val="001F3628"/>
    <w:rsid w:val="001F4DE1"/>
    <w:rsid w:val="00203657"/>
    <w:rsid w:val="00204026"/>
    <w:rsid w:val="00204EBD"/>
    <w:rsid w:val="002144A7"/>
    <w:rsid w:val="002178C1"/>
    <w:rsid w:val="00224024"/>
    <w:rsid w:val="00234B2A"/>
    <w:rsid w:val="0023682C"/>
    <w:rsid w:val="002402D7"/>
    <w:rsid w:val="00261430"/>
    <w:rsid w:val="00261A36"/>
    <w:rsid w:val="00264FDA"/>
    <w:rsid w:val="002772C4"/>
    <w:rsid w:val="002A7AC7"/>
    <w:rsid w:val="002B186E"/>
    <w:rsid w:val="002C196A"/>
    <w:rsid w:val="002C6908"/>
    <w:rsid w:val="002C7712"/>
    <w:rsid w:val="002D0034"/>
    <w:rsid w:val="002D0CE7"/>
    <w:rsid w:val="002D1C06"/>
    <w:rsid w:val="002E12C4"/>
    <w:rsid w:val="002E598F"/>
    <w:rsid w:val="002F13B0"/>
    <w:rsid w:val="002F1C9E"/>
    <w:rsid w:val="003031AD"/>
    <w:rsid w:val="00304384"/>
    <w:rsid w:val="00311117"/>
    <w:rsid w:val="00314494"/>
    <w:rsid w:val="00324A89"/>
    <w:rsid w:val="00324F1B"/>
    <w:rsid w:val="00333FF5"/>
    <w:rsid w:val="00350D07"/>
    <w:rsid w:val="00357047"/>
    <w:rsid w:val="00357F1B"/>
    <w:rsid w:val="00365D73"/>
    <w:rsid w:val="0037119B"/>
    <w:rsid w:val="0038092A"/>
    <w:rsid w:val="00380E29"/>
    <w:rsid w:val="00382037"/>
    <w:rsid w:val="00391816"/>
    <w:rsid w:val="003958A8"/>
    <w:rsid w:val="00395C43"/>
    <w:rsid w:val="003A0A4D"/>
    <w:rsid w:val="003A4DCB"/>
    <w:rsid w:val="003B2FCC"/>
    <w:rsid w:val="003B4AEF"/>
    <w:rsid w:val="003B503F"/>
    <w:rsid w:val="003B5DDA"/>
    <w:rsid w:val="003B72E8"/>
    <w:rsid w:val="003C432C"/>
    <w:rsid w:val="003C526C"/>
    <w:rsid w:val="003C5EEE"/>
    <w:rsid w:val="003C6256"/>
    <w:rsid w:val="003D0571"/>
    <w:rsid w:val="003D09B5"/>
    <w:rsid w:val="003D17EE"/>
    <w:rsid w:val="003E49EA"/>
    <w:rsid w:val="003F75AB"/>
    <w:rsid w:val="00400E70"/>
    <w:rsid w:val="00407BD8"/>
    <w:rsid w:val="00412E67"/>
    <w:rsid w:val="00417129"/>
    <w:rsid w:val="00435312"/>
    <w:rsid w:val="00442176"/>
    <w:rsid w:val="00462D2A"/>
    <w:rsid w:val="00467CDA"/>
    <w:rsid w:val="00472C9A"/>
    <w:rsid w:val="00477584"/>
    <w:rsid w:val="004808FF"/>
    <w:rsid w:val="004827AF"/>
    <w:rsid w:val="004A1357"/>
    <w:rsid w:val="004A3022"/>
    <w:rsid w:val="004B1C24"/>
    <w:rsid w:val="004B5124"/>
    <w:rsid w:val="004D2321"/>
    <w:rsid w:val="004D74AC"/>
    <w:rsid w:val="004E37E4"/>
    <w:rsid w:val="004F5B33"/>
    <w:rsid w:val="0050117D"/>
    <w:rsid w:val="005125FE"/>
    <w:rsid w:val="0052227C"/>
    <w:rsid w:val="00524D57"/>
    <w:rsid w:val="00530E44"/>
    <w:rsid w:val="00552B15"/>
    <w:rsid w:val="0056127B"/>
    <w:rsid w:val="0056398C"/>
    <w:rsid w:val="005648E6"/>
    <w:rsid w:val="00580825"/>
    <w:rsid w:val="005843AA"/>
    <w:rsid w:val="005863D7"/>
    <w:rsid w:val="0059173F"/>
    <w:rsid w:val="005A6F32"/>
    <w:rsid w:val="005B33C4"/>
    <w:rsid w:val="005B509E"/>
    <w:rsid w:val="005C4263"/>
    <w:rsid w:val="005C7268"/>
    <w:rsid w:val="005D1F4D"/>
    <w:rsid w:val="005D5E09"/>
    <w:rsid w:val="005D6E10"/>
    <w:rsid w:val="005E3659"/>
    <w:rsid w:val="006040CA"/>
    <w:rsid w:val="006047BC"/>
    <w:rsid w:val="00605219"/>
    <w:rsid w:val="00605EB1"/>
    <w:rsid w:val="00620BAD"/>
    <w:rsid w:val="00636A35"/>
    <w:rsid w:val="0064344A"/>
    <w:rsid w:val="00645DFB"/>
    <w:rsid w:val="00650C29"/>
    <w:rsid w:val="00660738"/>
    <w:rsid w:val="00670C7E"/>
    <w:rsid w:val="00677846"/>
    <w:rsid w:val="00690805"/>
    <w:rsid w:val="00690ACC"/>
    <w:rsid w:val="006927C2"/>
    <w:rsid w:val="006967C8"/>
    <w:rsid w:val="006A27ED"/>
    <w:rsid w:val="006D1537"/>
    <w:rsid w:val="006E5DF9"/>
    <w:rsid w:val="006E6259"/>
    <w:rsid w:val="006F08C5"/>
    <w:rsid w:val="006F113D"/>
    <w:rsid w:val="00700EFF"/>
    <w:rsid w:val="00703F39"/>
    <w:rsid w:val="007116E5"/>
    <w:rsid w:val="007245A5"/>
    <w:rsid w:val="00732428"/>
    <w:rsid w:val="00735CE4"/>
    <w:rsid w:val="00736D6E"/>
    <w:rsid w:val="007414F7"/>
    <w:rsid w:val="007427CC"/>
    <w:rsid w:val="00743530"/>
    <w:rsid w:val="00746A1B"/>
    <w:rsid w:val="00750ABC"/>
    <w:rsid w:val="00750F3A"/>
    <w:rsid w:val="00752C14"/>
    <w:rsid w:val="00752FEE"/>
    <w:rsid w:val="007615A9"/>
    <w:rsid w:val="00762ADC"/>
    <w:rsid w:val="007650BC"/>
    <w:rsid w:val="00770FFE"/>
    <w:rsid w:val="0078558C"/>
    <w:rsid w:val="00793A55"/>
    <w:rsid w:val="00793BC7"/>
    <w:rsid w:val="007948A1"/>
    <w:rsid w:val="007A25A6"/>
    <w:rsid w:val="007A7A50"/>
    <w:rsid w:val="007B02EC"/>
    <w:rsid w:val="007C0621"/>
    <w:rsid w:val="007C0FBE"/>
    <w:rsid w:val="007C2965"/>
    <w:rsid w:val="007C536D"/>
    <w:rsid w:val="007E0D59"/>
    <w:rsid w:val="007F207B"/>
    <w:rsid w:val="00821713"/>
    <w:rsid w:val="0083593B"/>
    <w:rsid w:val="008372A6"/>
    <w:rsid w:val="00843E8F"/>
    <w:rsid w:val="00845FBC"/>
    <w:rsid w:val="00846FF7"/>
    <w:rsid w:val="00847FF3"/>
    <w:rsid w:val="00860A6E"/>
    <w:rsid w:val="00861213"/>
    <w:rsid w:val="008626C0"/>
    <w:rsid w:val="008644EA"/>
    <w:rsid w:val="0088074E"/>
    <w:rsid w:val="008859C6"/>
    <w:rsid w:val="00886BE1"/>
    <w:rsid w:val="00887DD7"/>
    <w:rsid w:val="008A03C4"/>
    <w:rsid w:val="008A22AB"/>
    <w:rsid w:val="008B7D23"/>
    <w:rsid w:val="008C0907"/>
    <w:rsid w:val="008C65E7"/>
    <w:rsid w:val="008F0138"/>
    <w:rsid w:val="008F7347"/>
    <w:rsid w:val="008F76A0"/>
    <w:rsid w:val="00902291"/>
    <w:rsid w:val="00902B7A"/>
    <w:rsid w:val="00913CDA"/>
    <w:rsid w:val="00924591"/>
    <w:rsid w:val="00924BB6"/>
    <w:rsid w:val="00927B2A"/>
    <w:rsid w:val="0093526F"/>
    <w:rsid w:val="0094116E"/>
    <w:rsid w:val="00947BF0"/>
    <w:rsid w:val="00956EA4"/>
    <w:rsid w:val="0096305A"/>
    <w:rsid w:val="00965D9B"/>
    <w:rsid w:val="00975D6E"/>
    <w:rsid w:val="00980CCB"/>
    <w:rsid w:val="00990953"/>
    <w:rsid w:val="00993F1A"/>
    <w:rsid w:val="00996BDA"/>
    <w:rsid w:val="0099726E"/>
    <w:rsid w:val="009B0959"/>
    <w:rsid w:val="009B19C8"/>
    <w:rsid w:val="009C3975"/>
    <w:rsid w:val="009C4B36"/>
    <w:rsid w:val="009D2074"/>
    <w:rsid w:val="009D2DD2"/>
    <w:rsid w:val="009D5C17"/>
    <w:rsid w:val="009E4366"/>
    <w:rsid w:val="009E7F7C"/>
    <w:rsid w:val="009F02B0"/>
    <w:rsid w:val="009F0C39"/>
    <w:rsid w:val="00A17148"/>
    <w:rsid w:val="00A3398B"/>
    <w:rsid w:val="00A40197"/>
    <w:rsid w:val="00A5000C"/>
    <w:rsid w:val="00A50E36"/>
    <w:rsid w:val="00A72F07"/>
    <w:rsid w:val="00A8093D"/>
    <w:rsid w:val="00A80D8C"/>
    <w:rsid w:val="00A829BC"/>
    <w:rsid w:val="00A83DF5"/>
    <w:rsid w:val="00A90F67"/>
    <w:rsid w:val="00A937B9"/>
    <w:rsid w:val="00A97EB5"/>
    <w:rsid w:val="00AA2092"/>
    <w:rsid w:val="00AA3115"/>
    <w:rsid w:val="00AA5885"/>
    <w:rsid w:val="00AA77A4"/>
    <w:rsid w:val="00AA790D"/>
    <w:rsid w:val="00AB29CC"/>
    <w:rsid w:val="00AB2EA4"/>
    <w:rsid w:val="00AC35CF"/>
    <w:rsid w:val="00AD3059"/>
    <w:rsid w:val="00AE7D67"/>
    <w:rsid w:val="00AF599C"/>
    <w:rsid w:val="00AF5F0C"/>
    <w:rsid w:val="00B11C75"/>
    <w:rsid w:val="00B14DD7"/>
    <w:rsid w:val="00B1611E"/>
    <w:rsid w:val="00B2104F"/>
    <w:rsid w:val="00B23485"/>
    <w:rsid w:val="00B329BC"/>
    <w:rsid w:val="00B3468F"/>
    <w:rsid w:val="00B36734"/>
    <w:rsid w:val="00B37316"/>
    <w:rsid w:val="00B378F0"/>
    <w:rsid w:val="00B468CF"/>
    <w:rsid w:val="00B56E56"/>
    <w:rsid w:val="00B632F4"/>
    <w:rsid w:val="00B6513E"/>
    <w:rsid w:val="00B70820"/>
    <w:rsid w:val="00B730E0"/>
    <w:rsid w:val="00B82D8C"/>
    <w:rsid w:val="00B87A45"/>
    <w:rsid w:val="00B90994"/>
    <w:rsid w:val="00B96C4E"/>
    <w:rsid w:val="00B96CF7"/>
    <w:rsid w:val="00BA32EA"/>
    <w:rsid w:val="00BA3346"/>
    <w:rsid w:val="00BA5C8A"/>
    <w:rsid w:val="00BA697F"/>
    <w:rsid w:val="00BB07CB"/>
    <w:rsid w:val="00BC191F"/>
    <w:rsid w:val="00BC29F6"/>
    <w:rsid w:val="00BC4F42"/>
    <w:rsid w:val="00BD2977"/>
    <w:rsid w:val="00BD7447"/>
    <w:rsid w:val="00C21080"/>
    <w:rsid w:val="00C21D8B"/>
    <w:rsid w:val="00C2414C"/>
    <w:rsid w:val="00C378B7"/>
    <w:rsid w:val="00C43C05"/>
    <w:rsid w:val="00C44F31"/>
    <w:rsid w:val="00C51959"/>
    <w:rsid w:val="00C52140"/>
    <w:rsid w:val="00C5769F"/>
    <w:rsid w:val="00C614DA"/>
    <w:rsid w:val="00C72F0F"/>
    <w:rsid w:val="00C759BA"/>
    <w:rsid w:val="00C91831"/>
    <w:rsid w:val="00C966A2"/>
    <w:rsid w:val="00CA0221"/>
    <w:rsid w:val="00CB08D3"/>
    <w:rsid w:val="00CB14BC"/>
    <w:rsid w:val="00CB1CD7"/>
    <w:rsid w:val="00CB2EA5"/>
    <w:rsid w:val="00CB5077"/>
    <w:rsid w:val="00CD4DB8"/>
    <w:rsid w:val="00CD7AE7"/>
    <w:rsid w:val="00CE1E9E"/>
    <w:rsid w:val="00CE4028"/>
    <w:rsid w:val="00CE51A9"/>
    <w:rsid w:val="00CF249A"/>
    <w:rsid w:val="00D10010"/>
    <w:rsid w:val="00D125D1"/>
    <w:rsid w:val="00D22F76"/>
    <w:rsid w:val="00D2772C"/>
    <w:rsid w:val="00D330AA"/>
    <w:rsid w:val="00D355E3"/>
    <w:rsid w:val="00D60CB4"/>
    <w:rsid w:val="00D61B6A"/>
    <w:rsid w:val="00D63332"/>
    <w:rsid w:val="00D72F09"/>
    <w:rsid w:val="00D7414A"/>
    <w:rsid w:val="00D96F75"/>
    <w:rsid w:val="00DA0151"/>
    <w:rsid w:val="00DA0EF3"/>
    <w:rsid w:val="00DA121C"/>
    <w:rsid w:val="00DA4BA9"/>
    <w:rsid w:val="00DB1B14"/>
    <w:rsid w:val="00DB2F2C"/>
    <w:rsid w:val="00DB4AF5"/>
    <w:rsid w:val="00DD34E1"/>
    <w:rsid w:val="00DE1F0A"/>
    <w:rsid w:val="00DF08C8"/>
    <w:rsid w:val="00DF0CF6"/>
    <w:rsid w:val="00DF4137"/>
    <w:rsid w:val="00DF57DC"/>
    <w:rsid w:val="00E048EC"/>
    <w:rsid w:val="00E05242"/>
    <w:rsid w:val="00E100DB"/>
    <w:rsid w:val="00E10AC4"/>
    <w:rsid w:val="00E15666"/>
    <w:rsid w:val="00E15FA5"/>
    <w:rsid w:val="00E17860"/>
    <w:rsid w:val="00E24255"/>
    <w:rsid w:val="00E24B09"/>
    <w:rsid w:val="00E27B28"/>
    <w:rsid w:val="00E3274B"/>
    <w:rsid w:val="00E332BE"/>
    <w:rsid w:val="00E35ED0"/>
    <w:rsid w:val="00E419EB"/>
    <w:rsid w:val="00E44859"/>
    <w:rsid w:val="00E5034F"/>
    <w:rsid w:val="00E6011D"/>
    <w:rsid w:val="00E607AF"/>
    <w:rsid w:val="00E652A2"/>
    <w:rsid w:val="00E70BE0"/>
    <w:rsid w:val="00E71522"/>
    <w:rsid w:val="00E77CCE"/>
    <w:rsid w:val="00EA5928"/>
    <w:rsid w:val="00EB16B2"/>
    <w:rsid w:val="00EC2444"/>
    <w:rsid w:val="00ED0907"/>
    <w:rsid w:val="00EE1BB3"/>
    <w:rsid w:val="00EF7203"/>
    <w:rsid w:val="00F00F19"/>
    <w:rsid w:val="00F04E21"/>
    <w:rsid w:val="00F04FB3"/>
    <w:rsid w:val="00F15C46"/>
    <w:rsid w:val="00F21423"/>
    <w:rsid w:val="00F2190F"/>
    <w:rsid w:val="00F2357C"/>
    <w:rsid w:val="00F2797E"/>
    <w:rsid w:val="00F30059"/>
    <w:rsid w:val="00F42E27"/>
    <w:rsid w:val="00F435F7"/>
    <w:rsid w:val="00F464F9"/>
    <w:rsid w:val="00F61CA6"/>
    <w:rsid w:val="00F62477"/>
    <w:rsid w:val="00F64E0B"/>
    <w:rsid w:val="00F722C9"/>
    <w:rsid w:val="00F81C40"/>
    <w:rsid w:val="00F81D15"/>
    <w:rsid w:val="00F84442"/>
    <w:rsid w:val="00F9280F"/>
    <w:rsid w:val="00F93C17"/>
    <w:rsid w:val="00F949DA"/>
    <w:rsid w:val="00FA1F7D"/>
    <w:rsid w:val="00FA6303"/>
    <w:rsid w:val="00FA6867"/>
    <w:rsid w:val="00FB4848"/>
    <w:rsid w:val="00FB6877"/>
    <w:rsid w:val="00FC4C9A"/>
    <w:rsid w:val="00FD7A11"/>
    <w:rsid w:val="00FE57E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9A091"/>
  <w15:chartTrackingRefBased/>
  <w15:docId w15:val="{C81BBE78-794B-4CDF-93FB-49D06B5D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5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B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9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tekst">
    <w:name w:val="gp-tekst"/>
    <w:basedOn w:val="Normal"/>
    <w:rsid w:val="00096884"/>
    <w:pPr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124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C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74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E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51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51A9"/>
    <w:rPr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52C1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6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3676"/>
    <w:rPr>
      <w:lang w:eastAsia="en-US"/>
    </w:rPr>
  </w:style>
  <w:style w:type="character" w:styleId="FootnoteReference">
    <w:name w:val="footnote reference"/>
    <w:uiPriority w:val="99"/>
    <w:semiHidden/>
    <w:unhideWhenUsed/>
    <w:rsid w:val="00043676"/>
    <w:rPr>
      <w:vertAlign w:val="superscript"/>
    </w:rPr>
  </w:style>
  <w:style w:type="character" w:styleId="Strong">
    <w:name w:val="Strong"/>
    <w:uiPriority w:val="22"/>
    <w:qFormat/>
    <w:rsid w:val="00E27B28"/>
    <w:rPr>
      <w:b/>
      <w:bCs/>
    </w:rPr>
  </w:style>
  <w:style w:type="character" w:customStyle="1" w:styleId="Heading1Char">
    <w:name w:val="Heading 1 Char"/>
    <w:link w:val="Heading1"/>
    <w:uiPriority w:val="9"/>
    <w:rsid w:val="00B329BC"/>
    <w:rPr>
      <w:rFonts w:ascii="Cambria" w:eastAsia="SimSu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Heading2Char">
    <w:name w:val="Heading 2 Char"/>
    <w:link w:val="Heading2"/>
    <w:uiPriority w:val="9"/>
    <w:rsid w:val="00E419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BD31-F286-4D61-A0E8-5A30161F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BE690290.dotm</Template>
  <TotalTime>0</TotalTime>
  <Pages>3</Pages>
  <Words>794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ferideeb</dc:creator>
  <cp:keywords/>
  <cp:lastModifiedBy>Frode Løvik</cp:lastModifiedBy>
  <cp:revision>2</cp:revision>
  <cp:lastPrinted>2015-05-21T07:56:00Z</cp:lastPrinted>
  <dcterms:created xsi:type="dcterms:W3CDTF">2017-11-29T09:17:00Z</dcterms:created>
  <dcterms:modified xsi:type="dcterms:W3CDTF">2017-11-29T09:17:00Z</dcterms:modified>
</cp:coreProperties>
</file>