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67" w:rsidRPr="00EC1134" w:rsidRDefault="001C6667" w:rsidP="00762078">
      <w:pPr>
        <w:rPr>
          <w:b/>
          <w:sz w:val="32"/>
        </w:rPr>
      </w:pPr>
      <w:bookmarkStart w:id="0" w:name="_GoBack"/>
      <w:bookmarkEnd w:id="0"/>
    </w:p>
    <w:p w:rsidR="00FA4EE1" w:rsidRPr="00EC1134" w:rsidRDefault="00FA4EE1" w:rsidP="00762078">
      <w:pPr>
        <w:rPr>
          <w:b/>
          <w:sz w:val="32"/>
        </w:rPr>
      </w:pPr>
    </w:p>
    <w:p w:rsidR="001C6AEE" w:rsidRPr="00EC1134" w:rsidRDefault="001C6AEE" w:rsidP="00762078">
      <w:pPr>
        <w:rPr>
          <w:b/>
          <w:sz w:val="32"/>
        </w:rPr>
        <w:sectPr w:rsidR="001C6AEE" w:rsidRPr="00EC1134" w:rsidSect="000D2729">
          <w:headerReference w:type="default" r:id="rId8"/>
          <w:footerReference w:type="default" r:id="rId9"/>
          <w:headerReference w:type="first" r:id="rId10"/>
          <w:footerReference w:type="first" r:id="rId11"/>
          <w:type w:val="continuous"/>
          <w:pgSz w:w="11899" w:h="16838"/>
          <w:pgMar w:top="1302" w:right="1800" w:bottom="1440" w:left="1800" w:header="708" w:footer="708" w:gutter="0"/>
          <w:cols w:num="2" w:space="708"/>
          <w:noEndnote/>
          <w:titlePg/>
          <w:docGrid w:linePitch="326"/>
        </w:sectPr>
      </w:pPr>
    </w:p>
    <w:p w:rsidR="002A011B" w:rsidRPr="00EC1134" w:rsidRDefault="002A011B" w:rsidP="002A011B">
      <w:pPr>
        <w:pStyle w:val="Title"/>
      </w:pPr>
      <w:r w:rsidRPr="00EC1134">
        <w:t xml:space="preserve">Det </w:t>
      </w:r>
      <w:r w:rsidR="00FE4387" w:rsidRPr="00EC1134">
        <w:t>samfunnsvit</w:t>
      </w:r>
      <w:r w:rsidR="00EC35A9" w:rsidRPr="00EC1134">
        <w:t>en</w:t>
      </w:r>
      <w:r w:rsidR="00B20BBF" w:rsidRPr="00EC1134">
        <w:t>skap</w:t>
      </w:r>
      <w:r w:rsidR="00EC35A9" w:rsidRPr="00EC1134">
        <w:t>eli</w:t>
      </w:r>
      <w:r w:rsidR="00FE4387" w:rsidRPr="00EC1134">
        <w:t>ge</w:t>
      </w:r>
      <w:r w:rsidR="00B20BBF" w:rsidRPr="00EC1134">
        <w:t xml:space="preserve"> fakultet</w:t>
      </w:r>
    </w:p>
    <w:p w:rsidR="00762078" w:rsidRPr="00EC1134" w:rsidRDefault="002C691A" w:rsidP="002A011B">
      <w:pPr>
        <w:pStyle w:val="Title"/>
      </w:pPr>
      <w:r w:rsidRPr="00EC1134">
        <w:t>Ny fordelings</w:t>
      </w:r>
      <w:r w:rsidR="001179E9" w:rsidRPr="00EC1134">
        <w:t>modell</w:t>
      </w:r>
    </w:p>
    <w:p w:rsidR="001C6667" w:rsidRPr="00EC1134" w:rsidRDefault="005F2972" w:rsidP="002A011B">
      <w:r>
        <w:t>Høringsu</w:t>
      </w:r>
      <w:r w:rsidR="002A011B" w:rsidRPr="00EC1134">
        <w:t xml:space="preserve">tkast, </w:t>
      </w:r>
      <w:r>
        <w:t>20</w:t>
      </w:r>
      <w:r w:rsidR="005F067E" w:rsidRPr="00EC1134">
        <w:t>.</w:t>
      </w:r>
      <w:r w:rsidR="00EC1134" w:rsidRPr="00EC1134">
        <w:t xml:space="preserve"> a</w:t>
      </w:r>
      <w:r w:rsidR="007402BD" w:rsidRPr="00EC1134">
        <w:t>pril</w:t>
      </w:r>
      <w:r>
        <w:t xml:space="preserve"> 2018</w:t>
      </w:r>
    </w:p>
    <w:p w:rsidR="00DE1D95" w:rsidRPr="00EC1134" w:rsidRDefault="007E08B0" w:rsidP="00DE1D95">
      <w:pPr>
        <w:pStyle w:val="Heading1"/>
      </w:pPr>
      <w:r w:rsidRPr="00EC1134">
        <w:t>Innledning</w:t>
      </w:r>
    </w:p>
    <w:p w:rsidR="00641486" w:rsidRPr="00EC1134" w:rsidRDefault="00641486" w:rsidP="00641486">
      <w:pPr>
        <w:pStyle w:val="BodyText"/>
        <w:rPr>
          <w:rFonts w:eastAsiaTheme="minorHAnsi"/>
          <w:lang w:val="nb-NO"/>
        </w:rPr>
      </w:pPr>
      <w:r w:rsidRPr="00EC1134">
        <w:rPr>
          <w:rFonts w:eastAsiaTheme="minorHAnsi"/>
          <w:lang w:val="nb-NO"/>
        </w:rPr>
        <w:t>Kunnskapsdepartementet vedtok ny finansieringsmodell for universitets</w:t>
      </w:r>
      <w:r w:rsidR="002855A7" w:rsidRPr="00EC1134">
        <w:rPr>
          <w:rFonts w:eastAsiaTheme="minorHAnsi"/>
          <w:lang w:val="nb-NO"/>
        </w:rPr>
        <w:t>-</w:t>
      </w:r>
      <w:r w:rsidRPr="00EC1134">
        <w:rPr>
          <w:rFonts w:eastAsiaTheme="minorHAnsi"/>
          <w:lang w:val="nb-NO"/>
        </w:rPr>
        <w:t xml:space="preserve"> og høyskolesektoren i 2007, og styret ved UiO vedtok </w:t>
      </w:r>
      <w:r w:rsidR="002855A7" w:rsidRPr="00EC1134">
        <w:rPr>
          <w:rFonts w:eastAsiaTheme="minorHAnsi"/>
          <w:lang w:val="nb-NO"/>
        </w:rPr>
        <w:t xml:space="preserve">å legge ny </w:t>
      </w:r>
      <w:r w:rsidRPr="00EC1134">
        <w:rPr>
          <w:rFonts w:eastAsiaTheme="minorHAnsi"/>
          <w:lang w:val="nb-NO"/>
        </w:rPr>
        <w:t xml:space="preserve">modell for fordeling til fakultetene til grunn for fordelingen i 2009-budsjettet. Daværende dekan ved Det samfunnsvitenskapelige fakultet Asbjørn Rødseth ledet utvalget som utarbeidet ny </w:t>
      </w:r>
      <w:r w:rsidR="002855A7" w:rsidRPr="00EC1134">
        <w:rPr>
          <w:rFonts w:eastAsiaTheme="minorHAnsi"/>
          <w:lang w:val="nb-NO"/>
        </w:rPr>
        <w:t>fordelingsmodell</w:t>
      </w:r>
      <w:r w:rsidRPr="00EC1134">
        <w:rPr>
          <w:rFonts w:eastAsiaTheme="minorHAnsi"/>
          <w:lang w:val="nb-NO"/>
        </w:rPr>
        <w:t xml:space="preserve"> for UiO.</w:t>
      </w:r>
    </w:p>
    <w:p w:rsidR="00641486" w:rsidRPr="00EC1134" w:rsidRDefault="00641486" w:rsidP="00641486">
      <w:pPr>
        <w:pStyle w:val="BodyText"/>
        <w:rPr>
          <w:rFonts w:eastAsiaTheme="minorHAnsi"/>
          <w:lang w:val="nb-NO"/>
        </w:rPr>
      </w:pPr>
      <w:r w:rsidRPr="00EC1134">
        <w:rPr>
          <w:rFonts w:eastAsiaTheme="minorHAnsi"/>
          <w:lang w:val="nb-NO"/>
        </w:rPr>
        <w:t>Fakultetet nedsatte deretter sitt eget utvalg for å se på en ny fordelingsmodell for fordeling til underliggende enheter. Dette arbeidet ble ledet av daværende dekan Knut Heidar. Utvalget leverte sin enstemmige innstilling den 22.januar 2009, og den nye modellen ble vedtatt av fakultetsstyret 3. april 2009.</w:t>
      </w:r>
      <w:r w:rsidRPr="00EC1134">
        <w:rPr>
          <w:rStyle w:val="FootnoteReference"/>
          <w:rFonts w:eastAsiaTheme="minorHAnsi"/>
          <w:lang w:val="nb-NO"/>
        </w:rPr>
        <w:footnoteReference w:id="1"/>
      </w:r>
      <w:r w:rsidRPr="00EC1134">
        <w:rPr>
          <w:rFonts w:eastAsiaTheme="minorHAnsi"/>
          <w:lang w:val="nb-NO"/>
        </w:rPr>
        <w:t xml:space="preserve"> Modellen ble noe revidert 6. mai 2009.</w:t>
      </w:r>
      <w:r w:rsidR="004D3481" w:rsidRPr="00EC1134">
        <w:rPr>
          <w:rStyle w:val="FootnoteReference"/>
          <w:rFonts w:eastAsiaTheme="minorHAnsi"/>
          <w:lang w:val="nb-NO"/>
        </w:rPr>
        <w:footnoteReference w:id="2"/>
      </w:r>
      <w:r w:rsidRPr="00EC1134">
        <w:rPr>
          <w:rFonts w:eastAsiaTheme="minorHAnsi"/>
          <w:lang w:val="nb-NO"/>
        </w:rPr>
        <w:t xml:space="preserve"> Det er denne modellen fakultet frem til nå har lagt til grunn for budsjettering og fordeling av fakultetets basismidler.</w:t>
      </w:r>
    </w:p>
    <w:p w:rsidR="00695B35" w:rsidRPr="00EC1134" w:rsidRDefault="00641486" w:rsidP="00695B35">
      <w:pPr>
        <w:pStyle w:val="BodyText"/>
        <w:rPr>
          <w:lang w:val="nb-NO"/>
        </w:rPr>
      </w:pPr>
      <w:r w:rsidRPr="00EC1134">
        <w:rPr>
          <w:lang w:val="nb-NO"/>
        </w:rPr>
        <w:t>Modellen har i all</w:t>
      </w:r>
      <w:r w:rsidR="000A11B2" w:rsidRPr="00EC1134">
        <w:rPr>
          <w:lang w:val="nb-NO"/>
        </w:rPr>
        <w:t xml:space="preserve"> hovedsak</w:t>
      </w:r>
      <w:r w:rsidRPr="00EC1134">
        <w:rPr>
          <w:lang w:val="nb-NO"/>
        </w:rPr>
        <w:t xml:space="preserve"> virket</w:t>
      </w:r>
      <w:r w:rsidR="000A11B2" w:rsidRPr="00EC1134">
        <w:rPr>
          <w:lang w:val="nb-NO"/>
        </w:rPr>
        <w:t xml:space="preserve"> på en god måte. </w:t>
      </w:r>
      <w:r w:rsidR="00695B35" w:rsidRPr="00EC1134">
        <w:rPr>
          <w:lang w:val="nb-NO"/>
        </w:rPr>
        <w:t>D</w:t>
      </w:r>
      <w:r w:rsidR="000A11B2" w:rsidRPr="00EC1134">
        <w:rPr>
          <w:lang w:val="nb-NO"/>
        </w:rPr>
        <w:t xml:space="preserve">en har </w:t>
      </w:r>
      <w:r w:rsidR="00695B35" w:rsidRPr="00EC1134">
        <w:rPr>
          <w:lang w:val="nb-NO"/>
        </w:rPr>
        <w:t xml:space="preserve">imidlertid </w:t>
      </w:r>
      <w:r w:rsidR="000A11B2" w:rsidRPr="00EC1134">
        <w:rPr>
          <w:lang w:val="nb-NO"/>
        </w:rPr>
        <w:t>noen svakheter</w:t>
      </w:r>
      <w:r w:rsidR="00695B35" w:rsidRPr="00EC1134">
        <w:rPr>
          <w:lang w:val="nb-NO"/>
        </w:rPr>
        <w:t>,</w:t>
      </w:r>
      <w:r w:rsidR="000A11B2" w:rsidRPr="00EC1134">
        <w:rPr>
          <w:lang w:val="nb-NO"/>
        </w:rPr>
        <w:t xml:space="preserve"> f</w:t>
      </w:r>
      <w:r w:rsidR="00695B35" w:rsidRPr="00EC1134">
        <w:rPr>
          <w:lang w:val="nb-NO"/>
        </w:rPr>
        <w:t>or eksempel</w:t>
      </w:r>
      <w:r w:rsidR="000A11B2" w:rsidRPr="00EC1134">
        <w:rPr>
          <w:lang w:val="nb-NO"/>
        </w:rPr>
        <w:t xml:space="preserve"> ved innføri</w:t>
      </w:r>
      <w:r w:rsidR="00695B35" w:rsidRPr="00EC1134">
        <w:rPr>
          <w:lang w:val="nb-NO"/>
        </w:rPr>
        <w:t>ng av nye studieplasser og når det skjer</w:t>
      </w:r>
      <w:r w:rsidR="000A11B2" w:rsidRPr="00EC1134">
        <w:rPr>
          <w:lang w:val="nb-NO"/>
        </w:rPr>
        <w:t xml:space="preserve"> endringer i elementene som ligger til grunn for modellen. Resultatinntekter fra eksternfinansiert virksomhet er et slikt </w:t>
      </w:r>
      <w:r w:rsidR="00695B35" w:rsidRPr="00EC1134">
        <w:rPr>
          <w:lang w:val="nb-NO"/>
        </w:rPr>
        <w:t>grunn</w:t>
      </w:r>
      <w:r w:rsidR="000A11B2" w:rsidRPr="00EC1134">
        <w:rPr>
          <w:lang w:val="nb-NO"/>
        </w:rPr>
        <w:t>element</w:t>
      </w:r>
      <w:r w:rsidR="00695B35" w:rsidRPr="00EC1134">
        <w:rPr>
          <w:lang w:val="nb-NO"/>
        </w:rPr>
        <w:t xml:space="preserve">, og </w:t>
      </w:r>
      <w:r w:rsidR="000A11B2" w:rsidRPr="00EC1134">
        <w:rPr>
          <w:lang w:val="nb-NO"/>
        </w:rPr>
        <w:t>når fakultetet har økt sine prosjektinntekter fra EU betydelig</w:t>
      </w:r>
      <w:r w:rsidR="00695B35" w:rsidRPr="00EC1134">
        <w:rPr>
          <w:lang w:val="nb-NO"/>
        </w:rPr>
        <w:t>,</w:t>
      </w:r>
      <w:r w:rsidR="000A11B2" w:rsidRPr="00EC1134">
        <w:rPr>
          <w:lang w:val="nb-NO"/>
        </w:rPr>
        <w:t xml:space="preserve"> får det konsekvenser som ikke var tilsiktet da modellen ble innført. UiO </w:t>
      </w:r>
      <w:r w:rsidR="00695B35" w:rsidRPr="00EC1134">
        <w:rPr>
          <w:lang w:val="nb-NO"/>
        </w:rPr>
        <w:t xml:space="preserve">sentralt har </w:t>
      </w:r>
      <w:r w:rsidR="000A11B2" w:rsidRPr="00EC1134">
        <w:rPr>
          <w:lang w:val="nb-NO"/>
        </w:rPr>
        <w:t>justert sin fordelingsmodell med virkning fra 2018</w:t>
      </w:r>
      <w:r w:rsidRPr="00EC1134">
        <w:rPr>
          <w:lang w:val="nb-NO"/>
        </w:rPr>
        <w:t>, og det bør</w:t>
      </w:r>
      <w:r w:rsidR="00695B35" w:rsidRPr="00EC1134">
        <w:rPr>
          <w:lang w:val="nb-NO"/>
        </w:rPr>
        <w:t xml:space="preserve"> vurderes hvilke konsekvenser det eventuelt skal får for fakultetets modell</w:t>
      </w:r>
      <w:r w:rsidR="000A11B2" w:rsidRPr="00EC1134">
        <w:rPr>
          <w:lang w:val="nb-NO"/>
        </w:rPr>
        <w:t>.</w:t>
      </w:r>
    </w:p>
    <w:p w:rsidR="000A11B2" w:rsidRPr="00EC1134" w:rsidRDefault="00695B35" w:rsidP="00695B35">
      <w:pPr>
        <w:pStyle w:val="BodyText"/>
        <w:rPr>
          <w:lang w:val="nb-NO"/>
        </w:rPr>
      </w:pPr>
      <w:r w:rsidRPr="00EC1134">
        <w:rPr>
          <w:lang w:val="nb-NO"/>
        </w:rPr>
        <w:t>På</w:t>
      </w:r>
      <w:r w:rsidR="000A11B2" w:rsidRPr="00EC1134">
        <w:rPr>
          <w:lang w:val="nb-NO"/>
        </w:rPr>
        <w:t xml:space="preserve"> denne bakgrunn </w:t>
      </w:r>
      <w:r w:rsidRPr="00EC1134">
        <w:rPr>
          <w:lang w:val="nb-NO"/>
        </w:rPr>
        <w:t xml:space="preserve">har </w:t>
      </w:r>
      <w:r w:rsidR="000A11B2" w:rsidRPr="00EC1134">
        <w:rPr>
          <w:lang w:val="nb-NO"/>
        </w:rPr>
        <w:t xml:space="preserve">dekanen </w:t>
      </w:r>
      <w:r w:rsidRPr="00EC1134">
        <w:rPr>
          <w:lang w:val="nb-NO"/>
        </w:rPr>
        <w:t xml:space="preserve">oppnevnt </w:t>
      </w:r>
      <w:r w:rsidR="000A11B2" w:rsidRPr="00EC1134">
        <w:rPr>
          <w:lang w:val="nb-NO"/>
        </w:rPr>
        <w:t xml:space="preserve">et </w:t>
      </w:r>
      <w:r w:rsidRPr="00EC1134">
        <w:rPr>
          <w:lang w:val="nb-NO"/>
        </w:rPr>
        <w:t>arbeids</w:t>
      </w:r>
      <w:r w:rsidR="000A11B2" w:rsidRPr="00EC1134">
        <w:rPr>
          <w:lang w:val="nb-NO"/>
        </w:rPr>
        <w:t>utvalg bestående av:</w:t>
      </w:r>
    </w:p>
    <w:p w:rsidR="000A11B2" w:rsidRPr="00EC1134" w:rsidRDefault="000A11B2" w:rsidP="00695B35">
      <w:pPr>
        <w:pStyle w:val="List"/>
      </w:pPr>
      <w:r w:rsidRPr="00EC1134">
        <w:tab/>
        <w:t>Dekan Nils-Henrik von der Fehr</w:t>
      </w:r>
      <w:r w:rsidR="00641486" w:rsidRPr="00EC1134">
        <w:t xml:space="preserve"> (</w:t>
      </w:r>
      <w:r w:rsidRPr="00EC1134">
        <w:t>leder</w:t>
      </w:r>
      <w:r w:rsidR="00641486" w:rsidRPr="00EC1134">
        <w:t>)</w:t>
      </w:r>
    </w:p>
    <w:p w:rsidR="000A11B2" w:rsidRPr="00EC1134" w:rsidRDefault="000A11B2" w:rsidP="00695B35">
      <w:pPr>
        <w:pStyle w:val="List"/>
        <w:rPr>
          <w:bCs/>
          <w:color w:val="2B2B2B"/>
          <w:kern w:val="36"/>
        </w:rPr>
      </w:pPr>
      <w:r w:rsidRPr="00EC1134">
        <w:rPr>
          <w:bCs/>
          <w:color w:val="2B2B2B"/>
          <w:kern w:val="36"/>
        </w:rPr>
        <w:tab/>
        <w:t>Fulvio Castellacci, senter leder TIK</w:t>
      </w:r>
    </w:p>
    <w:p w:rsidR="000A11B2" w:rsidRPr="00EC1134" w:rsidRDefault="000A11B2" w:rsidP="00695B35">
      <w:pPr>
        <w:pStyle w:val="List"/>
        <w:rPr>
          <w:bCs/>
          <w:color w:val="2B2B2B"/>
          <w:kern w:val="36"/>
        </w:rPr>
      </w:pPr>
      <w:r w:rsidRPr="00EC1134">
        <w:rPr>
          <w:bCs/>
          <w:color w:val="2B2B2B"/>
          <w:kern w:val="36"/>
        </w:rPr>
        <w:tab/>
        <w:t>Birgitte Bøgh-Olsen, kontorsjef PSI</w:t>
      </w:r>
    </w:p>
    <w:p w:rsidR="000A11B2" w:rsidRPr="00EC1134" w:rsidRDefault="000A11B2" w:rsidP="00695B35">
      <w:pPr>
        <w:pStyle w:val="List"/>
        <w:rPr>
          <w:bCs/>
          <w:color w:val="2B2B2B"/>
          <w:kern w:val="36"/>
        </w:rPr>
      </w:pPr>
      <w:r w:rsidRPr="00EC1134">
        <w:rPr>
          <w:bCs/>
          <w:color w:val="2B2B2B"/>
          <w:kern w:val="36"/>
        </w:rPr>
        <w:tab/>
        <w:t>Gudleik Grimstad, fakultetsdirektør</w:t>
      </w:r>
    </w:p>
    <w:p w:rsidR="000A11B2" w:rsidRPr="00EC1134" w:rsidRDefault="000A11B2" w:rsidP="00695B35">
      <w:pPr>
        <w:pStyle w:val="List"/>
      </w:pPr>
      <w:r w:rsidRPr="00EC1134">
        <w:rPr>
          <w:bCs/>
          <w:color w:val="2B2B2B"/>
          <w:kern w:val="36"/>
        </w:rPr>
        <w:tab/>
        <w:t>Terje Hegge, seksjonssjef økonomi</w:t>
      </w:r>
      <w:r w:rsidR="00641486" w:rsidRPr="00EC1134">
        <w:rPr>
          <w:bCs/>
          <w:color w:val="2B2B2B"/>
          <w:kern w:val="36"/>
        </w:rPr>
        <w:t xml:space="preserve"> (</w:t>
      </w:r>
      <w:r w:rsidRPr="00EC1134">
        <w:rPr>
          <w:bCs/>
          <w:color w:val="2B2B2B"/>
          <w:kern w:val="36"/>
        </w:rPr>
        <w:t>sekretær</w:t>
      </w:r>
      <w:r w:rsidR="00641486" w:rsidRPr="00EC1134">
        <w:rPr>
          <w:bCs/>
          <w:color w:val="2B2B2B"/>
          <w:kern w:val="36"/>
        </w:rPr>
        <w:t>)</w:t>
      </w:r>
    </w:p>
    <w:p w:rsidR="000A11B2" w:rsidRPr="00EC1134" w:rsidRDefault="000A11B2" w:rsidP="00641486">
      <w:pPr>
        <w:pStyle w:val="List"/>
        <w:spacing w:after="120"/>
        <w:ind w:left="284" w:hanging="284"/>
      </w:pPr>
      <w:r w:rsidRPr="00EC1134">
        <w:tab/>
        <w:t>Fredrik Olsbu, rådgiver</w:t>
      </w:r>
      <w:r w:rsidR="00641486" w:rsidRPr="00EC1134">
        <w:t xml:space="preserve"> økonomi</w:t>
      </w:r>
      <w:r w:rsidR="002D0F49">
        <w:t>, ressursperson</w:t>
      </w:r>
    </w:p>
    <w:p w:rsidR="00DE1D95" w:rsidRPr="00EC1134" w:rsidRDefault="000A11B2" w:rsidP="000A11B2">
      <w:pPr>
        <w:pStyle w:val="BodyText"/>
        <w:rPr>
          <w:lang w:val="nb-NO"/>
        </w:rPr>
        <w:sectPr w:rsidR="00DE1D95" w:rsidRPr="00EC1134" w:rsidSect="001C6AEE">
          <w:type w:val="continuous"/>
          <w:pgSz w:w="11899" w:h="16838"/>
          <w:pgMar w:top="1302" w:right="1800" w:bottom="1440" w:left="1800" w:header="708" w:footer="708" w:gutter="0"/>
          <w:cols w:space="708"/>
          <w:noEndnote/>
          <w:titlePg/>
          <w:docGrid w:linePitch="326"/>
        </w:sectPr>
      </w:pPr>
      <w:r w:rsidRPr="00EC1134">
        <w:rPr>
          <w:lang w:val="nb-NO"/>
        </w:rPr>
        <w:t xml:space="preserve">Gruppen </w:t>
      </w:r>
      <w:r w:rsidR="00695B35" w:rsidRPr="00EC1134">
        <w:rPr>
          <w:lang w:val="nb-NO"/>
        </w:rPr>
        <w:t>fikk i mandat å</w:t>
      </w:r>
      <w:r w:rsidRPr="00EC1134">
        <w:rPr>
          <w:lang w:val="nb-NO"/>
        </w:rPr>
        <w:t xml:space="preserve"> vurdere behovet for og eventuelt foreslå endringer i f</w:t>
      </w:r>
      <w:r w:rsidR="00695B35" w:rsidRPr="00EC1134">
        <w:rPr>
          <w:lang w:val="nb-NO"/>
        </w:rPr>
        <w:t>ordelings</w:t>
      </w:r>
      <w:r w:rsidRPr="00EC1134">
        <w:rPr>
          <w:lang w:val="nb-NO"/>
        </w:rPr>
        <w:t xml:space="preserve">modellen. Arbeidsgruppen </w:t>
      </w:r>
      <w:r w:rsidR="00641486" w:rsidRPr="00EC1134">
        <w:rPr>
          <w:lang w:val="nb-NO"/>
        </w:rPr>
        <w:t xml:space="preserve">har tatt </w:t>
      </w:r>
      <w:r w:rsidRPr="00EC1134">
        <w:rPr>
          <w:lang w:val="nb-NO"/>
        </w:rPr>
        <w:t xml:space="preserve">utgangspunkt i </w:t>
      </w:r>
      <w:r w:rsidR="00641486" w:rsidRPr="00EC1134">
        <w:rPr>
          <w:lang w:val="nb-NO"/>
        </w:rPr>
        <w:t xml:space="preserve">blant annet de erfaringer som er </w:t>
      </w:r>
      <w:r w:rsidRPr="00EC1134">
        <w:rPr>
          <w:lang w:val="nb-NO"/>
        </w:rPr>
        <w:t xml:space="preserve">gjort siden nåværende modell ble vedtatt samt endringer som er gjort i ny </w:t>
      </w:r>
      <w:r w:rsidR="002855A7" w:rsidRPr="00EC1134">
        <w:rPr>
          <w:lang w:val="nb-NO"/>
        </w:rPr>
        <w:lastRenderedPageBreak/>
        <w:t>fordelingsmodell</w:t>
      </w:r>
      <w:r w:rsidRPr="00EC1134">
        <w:rPr>
          <w:lang w:val="nb-NO"/>
        </w:rPr>
        <w:t xml:space="preserve"> ved UiO. Det tas sikte på at en eventuelt ny modell legges til grunn for tildeling 2019</w:t>
      </w:r>
      <w:r w:rsidR="00641486" w:rsidRPr="00EC1134">
        <w:rPr>
          <w:lang w:val="nb-NO"/>
        </w:rPr>
        <w:t>.</w:t>
      </w:r>
    </w:p>
    <w:p w:rsidR="002A011B" w:rsidRPr="00EC1134" w:rsidRDefault="00A04E0A" w:rsidP="007E08B0">
      <w:pPr>
        <w:pStyle w:val="Heading1"/>
      </w:pPr>
      <w:r w:rsidRPr="00EC1134">
        <w:t>D</w:t>
      </w:r>
      <w:r w:rsidR="00812C59" w:rsidRPr="00EC1134">
        <w:t>agens fordelings</w:t>
      </w:r>
      <w:r w:rsidRPr="00EC1134">
        <w:t>modell</w:t>
      </w:r>
    </w:p>
    <w:p w:rsidR="0065254C" w:rsidRPr="00EC1134" w:rsidRDefault="009B2982" w:rsidP="0065254C">
      <w:pPr>
        <w:pStyle w:val="BodyText"/>
        <w:rPr>
          <w:lang w:val="nb-NO"/>
        </w:rPr>
      </w:pPr>
      <w:r w:rsidRPr="00EC1134">
        <w:rPr>
          <w:lang w:val="nb-NO"/>
        </w:rPr>
        <w:fldChar w:fldCharType="begin"/>
      </w:r>
      <w:r w:rsidRPr="00EC1134">
        <w:rPr>
          <w:lang w:val="nb-NO"/>
        </w:rPr>
        <w:instrText xml:space="preserve"> REF _Ref505590736 \h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1</w:t>
      </w:r>
      <w:r w:rsidRPr="00EC1134">
        <w:rPr>
          <w:lang w:val="nb-NO"/>
        </w:rPr>
        <w:fldChar w:fldCharType="end"/>
      </w:r>
      <w:r w:rsidRPr="00EC1134">
        <w:rPr>
          <w:lang w:val="nb-NO"/>
        </w:rPr>
        <w:t xml:space="preserve"> </w:t>
      </w:r>
      <w:r w:rsidR="002C691A" w:rsidRPr="00EC1134">
        <w:rPr>
          <w:lang w:val="nb-NO"/>
        </w:rPr>
        <w:t>oppsummerer fordelings</w:t>
      </w:r>
      <w:r w:rsidR="00DE1D95" w:rsidRPr="00EC1134">
        <w:rPr>
          <w:lang w:val="nb-NO"/>
        </w:rPr>
        <w:t>modellen for Universitetet i Oslo, med tall for hovedkomponentene i tildelingen til fakultetet oppgitt i hele millioner kroner.</w:t>
      </w:r>
      <w:r w:rsidR="006E1870" w:rsidRPr="00EC1134">
        <w:rPr>
          <w:rStyle w:val="FootnoteReference"/>
          <w:lang w:val="nb-NO"/>
        </w:rPr>
        <w:footnoteReference w:id="3"/>
      </w:r>
      <w:r w:rsidR="00DE1D95" w:rsidRPr="00EC1134">
        <w:rPr>
          <w:lang w:val="nb-NO"/>
        </w:rPr>
        <w:t xml:space="preserve"> Modellen skjelner mellom utdanning, forskning og "annet", og innenfor hver type virksomhet er midlene kategorisert som henholdsvis "dimensjonering", "resultater" og "satsninger".</w:t>
      </w:r>
      <w:r w:rsidR="00404C7B">
        <w:rPr>
          <w:lang w:val="nb-NO"/>
        </w:rPr>
        <w:tab/>
      </w:r>
      <w:r w:rsidR="00404C7B">
        <w:rPr>
          <w:lang w:val="nb-NO"/>
        </w:rPr>
        <w:tab/>
      </w:r>
    </w:p>
    <w:p w:rsidR="009B2982" w:rsidRPr="00EC1134" w:rsidRDefault="009B2982" w:rsidP="009B2982">
      <w:pPr>
        <w:pStyle w:val="Caption"/>
        <w:keepNext/>
        <w:rPr>
          <w:lang w:val="nb-NO"/>
        </w:rPr>
      </w:pPr>
      <w:bookmarkStart w:id="1" w:name="_Ref505590736"/>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w:t>
      </w:r>
      <w:r w:rsidRPr="00EC1134">
        <w:rPr>
          <w:lang w:val="nb-NO"/>
        </w:rPr>
        <w:fldChar w:fldCharType="end"/>
      </w:r>
      <w:bookmarkEnd w:id="1"/>
      <w:r w:rsidRPr="00EC1134">
        <w:rPr>
          <w:lang w:val="nb-NO"/>
        </w:rPr>
        <w:t>: Fordeling UiO</w:t>
      </w:r>
    </w:p>
    <w:tbl>
      <w:tblPr>
        <w:tblW w:w="5295" w:type="pct"/>
        <w:tblLayout w:type="fixed"/>
        <w:tblCellMar>
          <w:left w:w="70" w:type="dxa"/>
          <w:right w:w="70" w:type="dxa"/>
        </w:tblCellMar>
        <w:tblLook w:val="04A0" w:firstRow="1" w:lastRow="0" w:firstColumn="1" w:lastColumn="0" w:noHBand="0" w:noVBand="1"/>
      </w:tblPr>
      <w:tblGrid>
        <w:gridCol w:w="1985"/>
        <w:gridCol w:w="2268"/>
        <w:gridCol w:w="2268"/>
        <w:gridCol w:w="2268"/>
      </w:tblGrid>
      <w:tr w:rsidR="00E86BAF" w:rsidRPr="00EC1134" w:rsidTr="009B2982">
        <w:trPr>
          <w:trHeight w:val="480"/>
        </w:trPr>
        <w:tc>
          <w:tcPr>
            <w:tcW w:w="1129"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Dimensjonering</w:t>
            </w: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Resultater</w:t>
            </w: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Satsninger</w:t>
            </w:r>
          </w:p>
        </w:tc>
      </w:tr>
      <w:tr w:rsidR="00E86BAF" w:rsidRPr="00EC1134" w:rsidTr="009B2982">
        <w:trPr>
          <w:trHeight w:val="360"/>
        </w:trPr>
        <w:tc>
          <w:tcPr>
            <w:tcW w:w="1129"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Utdanning</w:t>
            </w:r>
          </w:p>
        </w:tc>
        <w:tc>
          <w:tcPr>
            <w:tcW w:w="1290"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studieplasser 196</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ISV 1</w:t>
            </w:r>
          </w:p>
        </w:tc>
        <w:tc>
          <w:tcPr>
            <w:tcW w:w="1290"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studiepoeng 109</w:t>
            </w:r>
          </w:p>
        </w:tc>
        <w:tc>
          <w:tcPr>
            <w:tcW w:w="1290"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digital eks. -6</w:t>
            </w:r>
          </w:p>
        </w:tc>
      </w:tr>
      <w:tr w:rsidR="00E86BAF" w:rsidRPr="00EC1134" w:rsidTr="009B2982">
        <w:trPr>
          <w:trHeight w:val="360"/>
        </w:trPr>
        <w:tc>
          <w:tcPr>
            <w:tcW w:w="1129"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Forskning</w:t>
            </w:r>
          </w:p>
        </w:tc>
        <w:tc>
          <w:tcPr>
            <w:tcW w:w="1290"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stipendiater 75</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postdoc-er 15</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"småforsk" 1</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ERC 3</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SFF 2</w:t>
            </w:r>
          </w:p>
        </w:tc>
        <w:tc>
          <w:tcPr>
            <w:tcW w:w="1290"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doktorgrader 12</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NFR-midler 5</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EU-midler 15</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BoA-midler 1</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publikasjoner 11</w:t>
            </w:r>
          </w:p>
        </w:tc>
        <w:tc>
          <w:tcPr>
            <w:tcW w:w="1290"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VLM ØI 6</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VLM PSI 7</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FME 2</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Fellesløft 1</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C-Rex 1</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ERC Grants 2</w:t>
            </w:r>
          </w:p>
        </w:tc>
      </w:tr>
      <w:tr w:rsidR="00E86BAF" w:rsidRPr="00EC1134" w:rsidTr="009B2982">
        <w:trPr>
          <w:trHeight w:val="360"/>
        </w:trPr>
        <w:tc>
          <w:tcPr>
            <w:tcW w:w="1129"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Annet</w:t>
            </w:r>
          </w:p>
        </w:tc>
        <w:tc>
          <w:tcPr>
            <w:tcW w:w="1290"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tilpasning -6</w:t>
            </w:r>
          </w:p>
        </w:tc>
        <w:tc>
          <w:tcPr>
            <w:tcW w:w="1290"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p>
        </w:tc>
        <w:tc>
          <w:tcPr>
            <w:tcW w:w="1290"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likestilling 1</w:t>
            </w:r>
          </w:p>
        </w:tc>
      </w:tr>
    </w:tbl>
    <w:p w:rsidR="00A04E0A" w:rsidRPr="00EC1134" w:rsidRDefault="00E86BAF" w:rsidP="00A04E0A">
      <w:pPr>
        <w:pStyle w:val="BodyText"/>
        <w:rPr>
          <w:sz w:val="18"/>
          <w:lang w:val="nb-NO"/>
        </w:rPr>
      </w:pPr>
      <w:r w:rsidRPr="00EC1134">
        <w:rPr>
          <w:sz w:val="18"/>
          <w:lang w:val="nb-NO"/>
        </w:rPr>
        <w:t>Tall i hele millioner for 2018.</w:t>
      </w:r>
    </w:p>
    <w:p w:rsidR="006C6972" w:rsidRPr="00EC1134" w:rsidRDefault="006C6972" w:rsidP="006C6972">
      <w:pPr>
        <w:pStyle w:val="BodyText"/>
        <w:rPr>
          <w:lang w:val="nb-NO"/>
        </w:rPr>
      </w:pPr>
      <w:r w:rsidRPr="00EC1134">
        <w:rPr>
          <w:lang w:val="nb-NO"/>
        </w:rPr>
        <w:t xml:space="preserve">Innenfor utdanning er den største komponenten "studieplasser", basert på tall fastsatt av universitetet for henholdsvis bachelor-, master- og profesjonsstudier. De ulike typene studieplasser gir forskjellig uttelling (eller "pris"), for 2018 henholdsvis </w:t>
      </w:r>
      <w:r w:rsidR="00F771C8" w:rsidRPr="00EC1134">
        <w:rPr>
          <w:lang w:val="nb-NO"/>
        </w:rPr>
        <w:t>43 749</w:t>
      </w:r>
      <w:r w:rsidR="0037596D" w:rsidRPr="00EC1134">
        <w:rPr>
          <w:lang w:val="nb-NO"/>
        </w:rPr>
        <w:t xml:space="preserve"> kroner</w:t>
      </w:r>
      <w:r w:rsidR="00F771C8" w:rsidRPr="00EC1134">
        <w:rPr>
          <w:lang w:val="nb-NO"/>
        </w:rPr>
        <w:t xml:space="preserve"> for bachelor, 63 545 </w:t>
      </w:r>
      <w:r w:rsidR="0037596D" w:rsidRPr="00EC1134">
        <w:rPr>
          <w:lang w:val="nb-NO"/>
        </w:rPr>
        <w:t xml:space="preserve">kroner </w:t>
      </w:r>
      <w:r w:rsidR="00F771C8" w:rsidRPr="00EC1134">
        <w:rPr>
          <w:lang w:val="nb-NO"/>
        </w:rPr>
        <w:t xml:space="preserve">for master og 131 712 </w:t>
      </w:r>
      <w:r w:rsidR="0037596D" w:rsidRPr="00EC1134">
        <w:rPr>
          <w:lang w:val="nb-NO"/>
        </w:rPr>
        <w:t xml:space="preserve">kroner </w:t>
      </w:r>
      <w:r w:rsidR="00F771C8" w:rsidRPr="00EC1134">
        <w:rPr>
          <w:lang w:val="nb-NO"/>
        </w:rPr>
        <w:t>for profesjon</w:t>
      </w:r>
      <w:r w:rsidRPr="00EC1134">
        <w:rPr>
          <w:lang w:val="nb-NO"/>
        </w:rPr>
        <w:t>. I tillegg inngår en komponent for I</w:t>
      </w:r>
      <w:r w:rsidR="004D3481" w:rsidRPr="00EC1134">
        <w:rPr>
          <w:lang w:val="nb-NO"/>
        </w:rPr>
        <w:t>nstitutt for statsvitenskap (I</w:t>
      </w:r>
      <w:r w:rsidRPr="00EC1134">
        <w:rPr>
          <w:lang w:val="nb-NO"/>
        </w:rPr>
        <w:t>SV</w:t>
      </w:r>
      <w:r w:rsidR="004D3481" w:rsidRPr="00EC1134">
        <w:rPr>
          <w:lang w:val="nb-NO"/>
        </w:rPr>
        <w:t>)</w:t>
      </w:r>
      <w:r w:rsidRPr="00EC1134">
        <w:rPr>
          <w:lang w:val="nb-NO"/>
        </w:rPr>
        <w:t>.</w:t>
      </w:r>
      <w:r w:rsidR="0037596D" w:rsidRPr="00EC1134">
        <w:rPr>
          <w:rStyle w:val="FootnoteReference"/>
          <w:lang w:val="nb-NO"/>
        </w:rPr>
        <w:footnoteReference w:id="4"/>
      </w:r>
      <w:r w:rsidRPr="00EC1134">
        <w:rPr>
          <w:lang w:val="nb-NO"/>
        </w:rPr>
        <w:t xml:space="preserve"> Resultatkomponenten for studier er basert på antall produserte studiepoeng og ferdige kandidater (den siste er ny fra 2018). Under satsninger faller betaling for digital eksamen, der fakultetet bidrar til dekning av universitetets kostnader for avvikling av eksamen, basert på de historiske kostnader fakultetet hadde da det selv var ansvarlig for avviklingen. </w:t>
      </w:r>
    </w:p>
    <w:p w:rsidR="006C6972" w:rsidRPr="00EC1134" w:rsidRDefault="006C6972" w:rsidP="0065254C">
      <w:pPr>
        <w:pStyle w:val="BodyText"/>
        <w:rPr>
          <w:lang w:val="nb-NO"/>
        </w:rPr>
      </w:pPr>
      <w:r w:rsidRPr="00EC1134">
        <w:rPr>
          <w:lang w:val="nb-NO"/>
        </w:rPr>
        <w:t>Innenfor forskning er de viktigste dimensjoneringskomponentene stipendiat- og postdoktorstillinger, med tillegg av småforsk-midler og bidrag til ERC</w:t>
      </w:r>
      <w:r w:rsidR="00B10A3D" w:rsidRPr="00EC1134">
        <w:rPr>
          <w:lang w:val="nb-NO"/>
        </w:rPr>
        <w:t>-prosjekter</w:t>
      </w:r>
      <w:r w:rsidR="004D3481" w:rsidRPr="00EC1134">
        <w:rPr>
          <w:lang w:val="nb-NO"/>
        </w:rPr>
        <w:t xml:space="preserve"> og Sentre</w:t>
      </w:r>
      <w:r w:rsidRPr="00EC1134">
        <w:rPr>
          <w:lang w:val="nb-NO"/>
        </w:rPr>
        <w:t xml:space="preserve"> for fremragende f</w:t>
      </w:r>
      <w:r w:rsidR="002C691A" w:rsidRPr="00EC1134">
        <w:rPr>
          <w:lang w:val="nb-NO"/>
        </w:rPr>
        <w:t>orskning</w:t>
      </w:r>
      <w:r w:rsidR="004D3481" w:rsidRPr="00EC1134">
        <w:rPr>
          <w:lang w:val="nb-NO"/>
        </w:rPr>
        <w:t xml:space="preserve"> (</w:t>
      </w:r>
      <w:r w:rsidR="002C691A" w:rsidRPr="00EC1134">
        <w:rPr>
          <w:lang w:val="nb-NO"/>
        </w:rPr>
        <w:t>SFFer</w:t>
      </w:r>
      <w:r w:rsidR="004D3481" w:rsidRPr="00EC1134">
        <w:rPr>
          <w:lang w:val="nb-NO"/>
        </w:rPr>
        <w:t>).</w:t>
      </w:r>
      <w:r w:rsidR="004D3481" w:rsidRPr="00EC1134">
        <w:rPr>
          <w:rStyle w:val="FootnoteReference"/>
          <w:lang w:val="nb-NO"/>
        </w:rPr>
        <w:footnoteReference w:id="5"/>
      </w:r>
      <w:r w:rsidRPr="00EC1134">
        <w:rPr>
          <w:lang w:val="nb-NO"/>
        </w:rPr>
        <w:t xml:space="preserve"> Resultatkomponentene er doktorgrader, </w:t>
      </w:r>
      <w:r w:rsidRPr="00EC1134">
        <w:rPr>
          <w:lang w:val="nb-NO"/>
        </w:rPr>
        <w:lastRenderedPageBreak/>
        <w:t xml:space="preserve">midler fra henholdsvis Forskningsrådet, EU og andre sponsorer, samt publikasjoner. Satsningskomponentene er </w:t>
      </w:r>
      <w:r w:rsidR="002C691A" w:rsidRPr="00EC1134">
        <w:rPr>
          <w:lang w:val="nb-NO"/>
        </w:rPr>
        <w:t xml:space="preserve">tilskudd til </w:t>
      </w:r>
      <w:r w:rsidRPr="00EC1134">
        <w:rPr>
          <w:lang w:val="nb-NO"/>
        </w:rPr>
        <w:t>"verden</w:t>
      </w:r>
      <w:r w:rsidR="002C691A" w:rsidRPr="00EC1134">
        <w:rPr>
          <w:lang w:val="nb-NO"/>
        </w:rPr>
        <w:t xml:space="preserve">sledende miljøer", utvalgte </w:t>
      </w:r>
      <w:r w:rsidRPr="00EC1134">
        <w:rPr>
          <w:lang w:val="nb-NO"/>
        </w:rPr>
        <w:t>sentre (</w:t>
      </w:r>
      <w:r w:rsidR="00B10A3D" w:rsidRPr="00EC1134">
        <w:rPr>
          <w:lang w:val="nb-NO"/>
        </w:rPr>
        <w:t xml:space="preserve">p.t. forskningssentre for miljøvennlig energi og </w:t>
      </w:r>
      <w:r w:rsidRPr="00EC1134">
        <w:rPr>
          <w:lang w:val="nb-NO"/>
        </w:rPr>
        <w:t>C-Rex</w:t>
      </w:r>
      <w:r w:rsidR="00B10A3D" w:rsidRPr="00EC1134">
        <w:rPr>
          <w:lang w:val="nb-NO"/>
        </w:rPr>
        <w:t xml:space="preserve">), </w:t>
      </w:r>
      <w:r w:rsidR="002C691A" w:rsidRPr="00EC1134">
        <w:rPr>
          <w:lang w:val="nb-NO"/>
        </w:rPr>
        <w:t xml:space="preserve">samt </w:t>
      </w:r>
      <w:r w:rsidR="00B10A3D" w:rsidRPr="00EC1134">
        <w:rPr>
          <w:lang w:val="nb-NO"/>
        </w:rPr>
        <w:t>ERC- og toppforsk-stipender</w:t>
      </w:r>
      <w:r w:rsidR="002C691A" w:rsidRPr="00EC1134">
        <w:rPr>
          <w:lang w:val="nb-NO"/>
        </w:rPr>
        <w:t>.</w:t>
      </w:r>
    </w:p>
    <w:p w:rsidR="00B10A3D" w:rsidRPr="00EC1134" w:rsidRDefault="00B10A3D" w:rsidP="0065254C">
      <w:pPr>
        <w:pStyle w:val="BodyText"/>
        <w:rPr>
          <w:lang w:val="nb-NO"/>
        </w:rPr>
      </w:pPr>
      <w:r w:rsidRPr="00EC1134">
        <w:rPr>
          <w:lang w:val="nb-NO"/>
        </w:rPr>
        <w:t xml:space="preserve">I kategorien "annet" inngår et tilpasningsledd (fastsatt ved siste endring av </w:t>
      </w:r>
      <w:r w:rsidR="002C691A" w:rsidRPr="00EC1134">
        <w:rPr>
          <w:lang w:val="nb-NO"/>
        </w:rPr>
        <w:t xml:space="preserve">modellen for å gjøre endringen budsjettmessig nøytral) samt en bevilgning til likestillingstiltak. </w:t>
      </w:r>
    </w:p>
    <w:p w:rsidR="00B10A3D" w:rsidRPr="00EC1134" w:rsidRDefault="009B2982" w:rsidP="0065254C">
      <w:pPr>
        <w:pStyle w:val="BodyText"/>
        <w:rPr>
          <w:lang w:val="nb-NO"/>
        </w:rPr>
      </w:pPr>
      <w:r w:rsidRPr="00EC1134">
        <w:rPr>
          <w:lang w:val="nb-NO"/>
        </w:rPr>
        <w:fldChar w:fldCharType="begin"/>
      </w:r>
      <w:r w:rsidRPr="00EC1134">
        <w:rPr>
          <w:lang w:val="nb-NO"/>
        </w:rPr>
        <w:instrText xml:space="preserve"> REF _Ref505590784 \h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2</w:t>
      </w:r>
      <w:r w:rsidRPr="00EC1134">
        <w:rPr>
          <w:lang w:val="nb-NO"/>
        </w:rPr>
        <w:fldChar w:fldCharType="end"/>
      </w:r>
      <w:r w:rsidR="002C691A" w:rsidRPr="00EC1134">
        <w:rPr>
          <w:lang w:val="nb-NO"/>
        </w:rPr>
        <w:t xml:space="preserve"> viser fordelingsmodellen ved fakultetet.</w:t>
      </w:r>
      <w:r w:rsidR="006E1870" w:rsidRPr="00EC1134">
        <w:rPr>
          <w:rStyle w:val="FootnoteReference"/>
          <w:lang w:val="nb-NO"/>
        </w:rPr>
        <w:footnoteReference w:id="6"/>
      </w:r>
      <w:r w:rsidR="002C691A" w:rsidRPr="00EC1134">
        <w:rPr>
          <w:lang w:val="nb-NO"/>
        </w:rPr>
        <w:t xml:space="preserve"> Den er i prinsippet </w:t>
      </w:r>
      <w:r w:rsidR="004D3481" w:rsidRPr="00EC1134">
        <w:rPr>
          <w:lang w:val="nb-NO"/>
        </w:rPr>
        <w:t>oppbygget</w:t>
      </w:r>
      <w:r w:rsidR="002C691A" w:rsidRPr="00EC1134">
        <w:rPr>
          <w:lang w:val="nb-NO"/>
        </w:rPr>
        <w:t xml:space="preserve"> på samme måte som universitetets fordelingsmodell, men med en del ulikheter når det gjelder de spesifikke komponenter.</w:t>
      </w:r>
    </w:p>
    <w:p w:rsidR="009B2982" w:rsidRPr="00EC1134" w:rsidRDefault="009B2982" w:rsidP="009B2982">
      <w:pPr>
        <w:pStyle w:val="Caption"/>
        <w:keepNext/>
        <w:rPr>
          <w:lang w:val="nb-NO"/>
        </w:rPr>
      </w:pPr>
      <w:bookmarkStart w:id="2" w:name="_Ref505590784"/>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2</w:t>
      </w:r>
      <w:r w:rsidRPr="00EC1134">
        <w:rPr>
          <w:lang w:val="nb-NO"/>
        </w:rPr>
        <w:fldChar w:fldCharType="end"/>
      </w:r>
      <w:bookmarkEnd w:id="2"/>
      <w:r w:rsidR="00A13BDB" w:rsidRPr="00EC1134">
        <w:rPr>
          <w:lang w:val="nb-NO"/>
        </w:rPr>
        <w:t>: Fordeling SV</w:t>
      </w:r>
    </w:p>
    <w:tbl>
      <w:tblPr>
        <w:tblW w:w="5295" w:type="pct"/>
        <w:tblLayout w:type="fixed"/>
        <w:tblCellMar>
          <w:left w:w="70" w:type="dxa"/>
          <w:right w:w="70" w:type="dxa"/>
        </w:tblCellMar>
        <w:tblLook w:val="04A0" w:firstRow="1" w:lastRow="0" w:firstColumn="1" w:lastColumn="0" w:noHBand="0" w:noVBand="1"/>
      </w:tblPr>
      <w:tblGrid>
        <w:gridCol w:w="1985"/>
        <w:gridCol w:w="2268"/>
        <w:gridCol w:w="2268"/>
        <w:gridCol w:w="2268"/>
      </w:tblGrid>
      <w:tr w:rsidR="00E86BAF" w:rsidRPr="00EC1134" w:rsidTr="009B2982">
        <w:trPr>
          <w:trHeight w:val="480"/>
        </w:trPr>
        <w:tc>
          <w:tcPr>
            <w:tcW w:w="1129"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Dimensjonering</w:t>
            </w: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Resultater</w:t>
            </w: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Satsninger</w:t>
            </w:r>
          </w:p>
        </w:tc>
      </w:tr>
      <w:tr w:rsidR="00E86BAF" w:rsidRPr="00EC1134" w:rsidTr="009B2982">
        <w:trPr>
          <w:trHeight w:val="360"/>
        </w:trPr>
        <w:tc>
          <w:tcPr>
            <w:tcW w:w="1129"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Utdanning</w:t>
            </w:r>
          </w:p>
        </w:tc>
        <w:tc>
          <w:tcPr>
            <w:tcW w:w="1290"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plantall 113</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internhusleie 42</w:t>
            </w:r>
          </w:p>
        </w:tc>
        <w:tc>
          <w:tcPr>
            <w:tcW w:w="1290"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studiepoeng 101</w:t>
            </w:r>
          </w:p>
        </w:tc>
        <w:tc>
          <w:tcPr>
            <w:tcW w:w="1290"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diverse 3</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ISV 1</w:t>
            </w:r>
          </w:p>
        </w:tc>
      </w:tr>
      <w:tr w:rsidR="00E86BAF" w:rsidRPr="00EC1134" w:rsidTr="009B2982">
        <w:trPr>
          <w:trHeight w:val="360"/>
        </w:trPr>
        <w:tc>
          <w:tcPr>
            <w:tcW w:w="1129"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Forskning</w:t>
            </w:r>
          </w:p>
        </w:tc>
        <w:tc>
          <w:tcPr>
            <w:tcW w:w="1290"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stipendiater 70</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postdoc-er 15</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"småforsk" 6</w:t>
            </w:r>
          </w:p>
        </w:tc>
        <w:tc>
          <w:tcPr>
            <w:tcW w:w="1290"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doktorgrader 13</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NFR-midler 5</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EU-midler 21</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publikasjoner 11</w:t>
            </w:r>
          </w:p>
        </w:tc>
        <w:tc>
          <w:tcPr>
            <w:tcW w:w="1290"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VLM ØI 6</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VLM PSI 7</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FME 2</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Fellesløft 3</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C-Rex 1</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ERC Grants 5</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SFF 2</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Sommerskolen 1</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Eilert Sundt VS 2</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ARENA 2</w:t>
            </w:r>
          </w:p>
        </w:tc>
      </w:tr>
      <w:tr w:rsidR="00E86BAF" w:rsidRPr="00EC1134" w:rsidTr="009B2982">
        <w:trPr>
          <w:trHeight w:val="360"/>
        </w:trPr>
        <w:tc>
          <w:tcPr>
            <w:tcW w:w="1129"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Annet</w:t>
            </w:r>
          </w:p>
        </w:tc>
        <w:tc>
          <w:tcPr>
            <w:tcW w:w="1290"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øremerket 17</w:t>
            </w:r>
          </w:p>
        </w:tc>
        <w:tc>
          <w:tcPr>
            <w:tcW w:w="1290"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p>
        </w:tc>
        <w:tc>
          <w:tcPr>
            <w:tcW w:w="1290"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likestilling 1</w:t>
            </w:r>
          </w:p>
        </w:tc>
      </w:tr>
    </w:tbl>
    <w:p w:rsidR="00E86BAF" w:rsidRPr="00EC1134" w:rsidRDefault="00E86BAF" w:rsidP="00E86BAF">
      <w:pPr>
        <w:pStyle w:val="BodyText"/>
        <w:rPr>
          <w:sz w:val="18"/>
          <w:lang w:val="nb-NO"/>
        </w:rPr>
      </w:pPr>
      <w:r w:rsidRPr="00EC1134">
        <w:rPr>
          <w:sz w:val="18"/>
          <w:lang w:val="nb-NO"/>
        </w:rPr>
        <w:t>Tall i hele millioner for 2018.</w:t>
      </w:r>
    </w:p>
    <w:p w:rsidR="00E86BAF" w:rsidRPr="00EC1134" w:rsidRDefault="002C691A" w:rsidP="0065254C">
      <w:pPr>
        <w:pStyle w:val="BodyText"/>
        <w:rPr>
          <w:lang w:val="nb-NO"/>
        </w:rPr>
      </w:pPr>
      <w:r w:rsidRPr="00EC1134">
        <w:rPr>
          <w:lang w:val="nb-NO"/>
        </w:rPr>
        <w:t>Innenfor utdanning er dimensjoneringskomponentene basert på såkalte plantall, samt tilskudd til dekning av kostnadene ved internhusleie. Resultatkomponenten er studiepoeng, mens satsningene er videreføringen av bevilgningen til ISV samt enkelte andre, mindre poster.</w:t>
      </w:r>
    </w:p>
    <w:p w:rsidR="002C691A" w:rsidRPr="00EC1134" w:rsidRDefault="002C691A" w:rsidP="0065254C">
      <w:pPr>
        <w:pStyle w:val="BodyText"/>
        <w:rPr>
          <w:lang w:val="nb-NO"/>
        </w:rPr>
      </w:pPr>
      <w:r w:rsidRPr="00EC1134">
        <w:rPr>
          <w:lang w:val="nb-NO"/>
        </w:rPr>
        <w:t>Innenfor forskning er komponentene de samme som for universitetet, dog slik at tilskuddene til ERC-prosjekter og SFFer er lagt til satsninger snarere enn dimensjonering. Fakultetet har i tillegg endel egne satsninger, blant annet Sommerskolen, Eilert Sundt Visiting Scholars og en særlig tildeling til ARENA</w:t>
      </w:r>
      <w:r w:rsidR="0037596D" w:rsidRPr="00EC1134">
        <w:rPr>
          <w:lang w:val="nb-NO"/>
        </w:rPr>
        <w:t xml:space="preserve">, kfr. </w:t>
      </w:r>
      <w:r w:rsidR="0037596D" w:rsidRPr="00EC1134">
        <w:rPr>
          <w:lang w:val="nb-NO"/>
        </w:rPr>
        <w:fldChar w:fldCharType="begin"/>
      </w:r>
      <w:r w:rsidR="0037596D" w:rsidRPr="00EC1134">
        <w:rPr>
          <w:lang w:val="nb-NO"/>
        </w:rPr>
        <w:instrText xml:space="preserve"> REF _Ref508111491 \h \*Lower </w:instrText>
      </w:r>
      <w:r w:rsidR="0037596D" w:rsidRPr="00EC1134">
        <w:rPr>
          <w:lang w:val="nb-NO"/>
        </w:rPr>
      </w:r>
      <w:r w:rsidR="0037596D" w:rsidRPr="00EC1134">
        <w:rPr>
          <w:lang w:val="nb-NO"/>
        </w:rPr>
        <w:fldChar w:fldCharType="separate"/>
      </w:r>
      <w:r w:rsidR="00B759DD" w:rsidRPr="00EC1134">
        <w:rPr>
          <w:lang w:val="nb-NO"/>
        </w:rPr>
        <w:t xml:space="preserve">tabell </w:t>
      </w:r>
      <w:r w:rsidR="00B759DD">
        <w:rPr>
          <w:noProof/>
          <w:lang w:val="nb-NO"/>
        </w:rPr>
        <w:t>24</w:t>
      </w:r>
      <w:r w:rsidR="0037596D" w:rsidRPr="00EC1134">
        <w:rPr>
          <w:lang w:val="nb-NO"/>
        </w:rPr>
        <w:fldChar w:fldCharType="end"/>
      </w:r>
      <w:r w:rsidR="0037596D" w:rsidRPr="00EC1134">
        <w:rPr>
          <w:lang w:val="nb-NO"/>
        </w:rPr>
        <w:t>.</w:t>
      </w:r>
    </w:p>
    <w:p w:rsidR="002C691A" w:rsidRPr="00EC1134" w:rsidRDefault="002C691A" w:rsidP="0065254C">
      <w:pPr>
        <w:pStyle w:val="BodyText"/>
        <w:rPr>
          <w:lang w:val="nb-NO"/>
        </w:rPr>
      </w:pPr>
      <w:r w:rsidRPr="00EC1134">
        <w:rPr>
          <w:lang w:val="nb-NO"/>
        </w:rPr>
        <w:t>Kategorien annet innehold er rekke poster, blant annet intern betaling for IT-, personal- og økonomitjenester.</w:t>
      </w:r>
    </w:p>
    <w:p w:rsidR="002C691A" w:rsidRPr="00EC1134" w:rsidRDefault="009B2982" w:rsidP="0065254C">
      <w:pPr>
        <w:pStyle w:val="BodyText"/>
        <w:rPr>
          <w:lang w:val="nb-NO"/>
        </w:rPr>
      </w:pPr>
      <w:r w:rsidRPr="00EC1134">
        <w:rPr>
          <w:lang w:val="nb-NO"/>
        </w:rPr>
        <w:fldChar w:fldCharType="begin"/>
      </w:r>
      <w:r w:rsidRPr="00EC1134">
        <w:rPr>
          <w:lang w:val="nb-NO"/>
        </w:rPr>
        <w:instrText xml:space="preserve"> REF _Ref505590843 \h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3</w:t>
      </w:r>
      <w:r w:rsidRPr="00EC1134">
        <w:rPr>
          <w:lang w:val="nb-NO"/>
        </w:rPr>
        <w:fldChar w:fldCharType="end"/>
      </w:r>
      <w:r w:rsidR="002C691A" w:rsidRPr="00EC1134">
        <w:rPr>
          <w:lang w:val="nb-NO"/>
        </w:rPr>
        <w:t xml:space="preserve"> inneholder en sammenligning av fordelingsmodellene til universitetet og fakultetet. Det er særlig på fire områder at modellene skiller seg ad. For det første benytter universitetet studieplasser til dimensjonering av utdanningen, mens fakultetet benytter plantall og tilskudd til internhusleie. For det andre </w:t>
      </w:r>
      <w:r w:rsidR="006E1870" w:rsidRPr="00EC1134">
        <w:rPr>
          <w:lang w:val="nb-NO"/>
        </w:rPr>
        <w:t>benytter fakultetet internbetaling for endel tjenester, basert på de historiske kostnader fra den gang disse tjeneste lå til de enkelte enheter. For det tredje avviker de "skattesatsene" som henholdsvis universitetet og fakultetet benytter for resultatkomponentene; mens universitete</w:t>
      </w:r>
      <w:r w:rsidR="0060148A" w:rsidRPr="00EC1134">
        <w:rPr>
          <w:lang w:val="nb-NO"/>
        </w:rPr>
        <w:t xml:space="preserve">t gjennomgående bruker en </w:t>
      </w:r>
      <w:r w:rsidR="006E1870" w:rsidRPr="00EC1134">
        <w:rPr>
          <w:lang w:val="nb-NO"/>
        </w:rPr>
        <w:t xml:space="preserve">sats på 42,4 prosent (slik at 57,6 prosent av bevilgningen fra departementet videreføres til fakultetene), benytter fakultetet forskjellige satser for de ulike resultatkomponentene. Og for det fjerde har fakultetet endel egne satsninger i tillegg til </w:t>
      </w:r>
      <w:r w:rsidR="00636540" w:rsidRPr="00EC1134">
        <w:rPr>
          <w:lang w:val="nb-NO"/>
        </w:rPr>
        <w:t>universitetets.</w:t>
      </w:r>
    </w:p>
    <w:p w:rsidR="009B2982" w:rsidRPr="00EC1134" w:rsidRDefault="009B2982" w:rsidP="009B2982">
      <w:pPr>
        <w:pStyle w:val="Caption"/>
        <w:keepNext/>
        <w:rPr>
          <w:lang w:val="nb-NO"/>
        </w:rPr>
      </w:pPr>
      <w:bookmarkStart w:id="3" w:name="_Ref505590843"/>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3</w:t>
      </w:r>
      <w:r w:rsidRPr="00EC1134">
        <w:rPr>
          <w:lang w:val="nb-NO"/>
        </w:rPr>
        <w:fldChar w:fldCharType="end"/>
      </w:r>
      <w:bookmarkEnd w:id="3"/>
      <w:r w:rsidRPr="00EC1134">
        <w:rPr>
          <w:lang w:val="nb-NO"/>
        </w:rPr>
        <w:t>: Sammenligning UiO og SV</w:t>
      </w:r>
    </w:p>
    <w:tbl>
      <w:tblPr>
        <w:tblW w:w="5295" w:type="pct"/>
        <w:tblLayout w:type="fixed"/>
        <w:tblCellMar>
          <w:left w:w="70" w:type="dxa"/>
          <w:right w:w="70" w:type="dxa"/>
        </w:tblCellMar>
        <w:tblLook w:val="04A0" w:firstRow="1" w:lastRow="0" w:firstColumn="1" w:lastColumn="0" w:noHBand="0" w:noVBand="1"/>
      </w:tblPr>
      <w:tblGrid>
        <w:gridCol w:w="1985"/>
        <w:gridCol w:w="2268"/>
        <w:gridCol w:w="2268"/>
        <w:gridCol w:w="2268"/>
      </w:tblGrid>
      <w:tr w:rsidR="00E86BAF" w:rsidRPr="00EC1134" w:rsidTr="009B2982">
        <w:trPr>
          <w:trHeight w:val="480"/>
        </w:trPr>
        <w:tc>
          <w:tcPr>
            <w:tcW w:w="1129"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Dimensjonering</w:t>
            </w: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Resultater</w:t>
            </w:r>
          </w:p>
        </w:tc>
        <w:tc>
          <w:tcPr>
            <w:tcW w:w="1290" w:type="pct"/>
            <w:tcBorders>
              <w:top w:val="single" w:sz="4" w:space="0" w:color="auto"/>
              <w:left w:val="nil"/>
              <w:bottom w:val="single" w:sz="4" w:space="0" w:color="auto"/>
              <w:right w:val="nil"/>
            </w:tcBorders>
            <w:shd w:val="clear" w:color="auto" w:fill="auto"/>
            <w:vAlign w:val="center"/>
            <w:hideMark/>
          </w:tcPr>
          <w:p w:rsidR="00E86BAF" w:rsidRPr="00EC1134" w:rsidRDefault="00E86BAF" w:rsidP="005C1026">
            <w:pPr>
              <w:keepNext/>
              <w:keepLines/>
              <w:widowControl w:val="0"/>
              <w:jc w:val="cente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Satsninger</w:t>
            </w:r>
          </w:p>
        </w:tc>
      </w:tr>
      <w:tr w:rsidR="00E86BAF" w:rsidRPr="00EC1134" w:rsidTr="009B2982">
        <w:trPr>
          <w:trHeight w:val="360"/>
        </w:trPr>
        <w:tc>
          <w:tcPr>
            <w:tcW w:w="1129"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Utdanning</w:t>
            </w:r>
          </w:p>
        </w:tc>
        <w:tc>
          <w:tcPr>
            <w:tcW w:w="1290" w:type="pct"/>
            <w:tcBorders>
              <w:top w:val="nil"/>
              <w:left w:val="nil"/>
              <w:bottom w:val="nil"/>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UiO: studieplasser</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SV: plantall + internhusleie</w:t>
            </w:r>
          </w:p>
        </w:tc>
        <w:tc>
          <w:tcPr>
            <w:tcW w:w="1290" w:type="pct"/>
            <w:tcBorders>
              <w:top w:val="nil"/>
              <w:left w:val="nil"/>
              <w:bottom w:val="nil"/>
              <w:right w:val="nil"/>
            </w:tcBorders>
            <w:shd w:val="clear" w:color="000000" w:fill="C0C0C0"/>
            <w:vAlign w:val="center"/>
            <w:hideMark/>
          </w:tcPr>
          <w:p w:rsidR="00B94CC7"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 xml:space="preserve">UiO: </w:t>
            </w:r>
            <w:r w:rsidR="00B94CC7" w:rsidRPr="00EC1134">
              <w:rPr>
                <w:rFonts w:eastAsia="Times New Roman" w:cs="Times New Roman"/>
                <w:color w:val="000000"/>
                <w:sz w:val="22"/>
                <w:szCs w:val="22"/>
                <w:lang w:eastAsia="nb-NO"/>
              </w:rPr>
              <w:t>57,6%</w:t>
            </w:r>
          </w:p>
          <w:p w:rsidR="00B94CC7"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 xml:space="preserve">SV: </w:t>
            </w:r>
            <w:r w:rsidR="00E86BAF" w:rsidRPr="00EC1134">
              <w:rPr>
                <w:rFonts w:eastAsia="Times New Roman" w:cs="Times New Roman"/>
                <w:color w:val="000000"/>
                <w:sz w:val="22"/>
                <w:szCs w:val="22"/>
                <w:lang w:eastAsia="nb-NO"/>
              </w:rPr>
              <w:t>Ba 72%</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Ms/prof</w:t>
            </w:r>
            <w:r w:rsidR="00B94CC7" w:rsidRPr="00EC1134">
              <w:rPr>
                <w:rFonts w:eastAsia="Times New Roman" w:cs="Times New Roman"/>
                <w:color w:val="000000"/>
                <w:sz w:val="22"/>
                <w:szCs w:val="22"/>
                <w:lang w:eastAsia="nb-NO"/>
              </w:rPr>
              <w:t>.</w:t>
            </w:r>
            <w:r w:rsidRPr="00EC1134">
              <w:rPr>
                <w:rFonts w:eastAsia="Times New Roman" w:cs="Times New Roman"/>
                <w:color w:val="000000"/>
                <w:sz w:val="22"/>
                <w:szCs w:val="22"/>
                <w:lang w:eastAsia="nb-NO"/>
              </w:rPr>
              <w:t xml:space="preserve"> 93%</w:t>
            </w:r>
          </w:p>
        </w:tc>
        <w:tc>
          <w:tcPr>
            <w:tcW w:w="1290" w:type="pct"/>
            <w:tcBorders>
              <w:top w:val="nil"/>
              <w:left w:val="nil"/>
              <w:bottom w:val="nil"/>
              <w:right w:val="nil"/>
            </w:tcBorders>
            <w:shd w:val="clear" w:color="000000" w:fill="C0C0C0"/>
            <w:vAlign w:val="center"/>
            <w:hideMark/>
          </w:tcPr>
          <w:p w:rsidR="00E86BAF"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SV viderefører tildeling fra UiO, pluss egne</w:t>
            </w:r>
          </w:p>
        </w:tc>
      </w:tr>
      <w:tr w:rsidR="00E86BAF" w:rsidRPr="00EC1134" w:rsidTr="009B2982">
        <w:trPr>
          <w:trHeight w:val="360"/>
        </w:trPr>
        <w:tc>
          <w:tcPr>
            <w:tcW w:w="1129" w:type="pct"/>
            <w:tcBorders>
              <w:top w:val="nil"/>
              <w:left w:val="nil"/>
              <w:bottom w:val="nil"/>
              <w:right w:val="nil"/>
            </w:tcBorders>
            <w:shd w:val="clear" w:color="auto" w:fill="auto"/>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Forskning</w:t>
            </w:r>
          </w:p>
        </w:tc>
        <w:tc>
          <w:tcPr>
            <w:tcW w:w="1290" w:type="pct"/>
            <w:tcBorders>
              <w:top w:val="nil"/>
              <w:left w:val="nil"/>
              <w:bottom w:val="nil"/>
              <w:right w:val="nil"/>
            </w:tcBorders>
            <w:shd w:val="clear" w:color="auto" w:fill="auto"/>
            <w:vAlign w:val="center"/>
            <w:hideMark/>
          </w:tcPr>
          <w:p w:rsidR="00E86BAF"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SV viderefører tildeling fra UiO; noen stipendiat- og postdoc-stillinger fordeles "strategisk"</w:t>
            </w:r>
          </w:p>
        </w:tc>
        <w:tc>
          <w:tcPr>
            <w:tcW w:w="1290" w:type="pct"/>
            <w:tcBorders>
              <w:top w:val="nil"/>
              <w:left w:val="nil"/>
              <w:bottom w:val="nil"/>
              <w:right w:val="nil"/>
            </w:tcBorders>
            <w:shd w:val="clear" w:color="auto" w:fill="auto"/>
            <w:vAlign w:val="center"/>
            <w:hideMark/>
          </w:tcPr>
          <w:p w:rsidR="00B94CC7"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UiO: 57,6%</w:t>
            </w:r>
          </w:p>
          <w:p w:rsidR="00E86BAF"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 xml:space="preserve">SV: </w:t>
            </w:r>
            <w:r w:rsidR="00E86BAF" w:rsidRPr="00EC1134">
              <w:rPr>
                <w:rFonts w:eastAsia="Times New Roman" w:cs="Times New Roman"/>
                <w:color w:val="000000"/>
                <w:sz w:val="22"/>
                <w:szCs w:val="22"/>
                <w:lang w:eastAsia="nb-NO"/>
              </w:rPr>
              <w:t>dokt</w:t>
            </w:r>
            <w:r w:rsidRPr="00EC1134">
              <w:rPr>
                <w:rFonts w:eastAsia="Times New Roman" w:cs="Times New Roman"/>
                <w:color w:val="000000"/>
                <w:sz w:val="22"/>
                <w:szCs w:val="22"/>
                <w:lang w:eastAsia="nb-NO"/>
              </w:rPr>
              <w:t>orgrader 93%</w:t>
            </w:r>
          </w:p>
          <w:p w:rsidR="00E86BAF"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NFR-midler 57,6%</w:t>
            </w:r>
          </w:p>
          <w:p w:rsidR="00E86BAF"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EU-midler 57,6%</w:t>
            </w:r>
          </w:p>
          <w:p w:rsidR="00E86BAF" w:rsidRPr="00EC1134" w:rsidRDefault="00E86BAF"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 xml:space="preserve">publikasjoner </w:t>
            </w:r>
            <w:r w:rsidR="00B94CC7" w:rsidRPr="00EC1134">
              <w:rPr>
                <w:rFonts w:eastAsia="Times New Roman" w:cs="Times New Roman"/>
                <w:color w:val="000000"/>
                <w:sz w:val="22"/>
                <w:szCs w:val="22"/>
                <w:lang w:eastAsia="nb-NO"/>
              </w:rPr>
              <w:t>100%</w:t>
            </w:r>
          </w:p>
        </w:tc>
        <w:tc>
          <w:tcPr>
            <w:tcW w:w="1290" w:type="pct"/>
            <w:tcBorders>
              <w:top w:val="nil"/>
              <w:left w:val="nil"/>
              <w:bottom w:val="nil"/>
              <w:right w:val="nil"/>
            </w:tcBorders>
            <w:shd w:val="clear" w:color="auto" w:fill="auto"/>
            <w:vAlign w:val="center"/>
            <w:hideMark/>
          </w:tcPr>
          <w:p w:rsidR="00E86BAF"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SV viderefører tildeling fra UiO, pluss egne</w:t>
            </w:r>
          </w:p>
        </w:tc>
      </w:tr>
      <w:tr w:rsidR="00E86BAF" w:rsidRPr="00EC1134" w:rsidTr="009B2982">
        <w:trPr>
          <w:trHeight w:val="360"/>
        </w:trPr>
        <w:tc>
          <w:tcPr>
            <w:tcW w:w="1129"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Annet</w:t>
            </w:r>
          </w:p>
        </w:tc>
        <w:tc>
          <w:tcPr>
            <w:tcW w:w="1290" w:type="pct"/>
            <w:tcBorders>
              <w:top w:val="nil"/>
              <w:left w:val="nil"/>
              <w:bottom w:val="single" w:sz="8" w:space="0" w:color="auto"/>
              <w:right w:val="nil"/>
            </w:tcBorders>
            <w:shd w:val="clear" w:color="000000" w:fill="C0C0C0"/>
            <w:vAlign w:val="center"/>
            <w:hideMark/>
          </w:tcPr>
          <w:p w:rsidR="00E86BAF"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SV: internbetaling for IT, personal og økonomi</w:t>
            </w:r>
          </w:p>
        </w:tc>
        <w:tc>
          <w:tcPr>
            <w:tcW w:w="1290" w:type="pct"/>
            <w:tcBorders>
              <w:top w:val="nil"/>
              <w:left w:val="nil"/>
              <w:bottom w:val="single" w:sz="8" w:space="0" w:color="auto"/>
              <w:right w:val="nil"/>
            </w:tcBorders>
            <w:shd w:val="clear" w:color="000000" w:fill="C0C0C0"/>
            <w:vAlign w:val="center"/>
            <w:hideMark/>
          </w:tcPr>
          <w:p w:rsidR="00E86BAF" w:rsidRPr="00EC1134" w:rsidRDefault="00E86BAF" w:rsidP="005C1026">
            <w:pPr>
              <w:keepNext/>
              <w:keepLines/>
              <w:widowControl w:val="0"/>
              <w:jc w:val="center"/>
              <w:rPr>
                <w:rFonts w:eastAsia="Times New Roman" w:cs="Times New Roman"/>
                <w:color w:val="000000"/>
                <w:sz w:val="22"/>
                <w:szCs w:val="22"/>
                <w:lang w:eastAsia="nb-NO"/>
              </w:rPr>
            </w:pPr>
          </w:p>
        </w:tc>
        <w:tc>
          <w:tcPr>
            <w:tcW w:w="1290" w:type="pct"/>
            <w:tcBorders>
              <w:top w:val="nil"/>
              <w:left w:val="nil"/>
              <w:bottom w:val="single" w:sz="8" w:space="0" w:color="auto"/>
              <w:right w:val="nil"/>
            </w:tcBorders>
            <w:shd w:val="clear" w:color="000000" w:fill="C0C0C0"/>
            <w:vAlign w:val="center"/>
            <w:hideMark/>
          </w:tcPr>
          <w:p w:rsidR="00E86BAF" w:rsidRPr="00EC1134" w:rsidRDefault="00B94CC7" w:rsidP="005C1026">
            <w:pPr>
              <w:keepNext/>
              <w:keepLines/>
              <w:widowControl w:val="0"/>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SV viderefører tildeling fra UiO, pluss egne</w:t>
            </w:r>
          </w:p>
        </w:tc>
      </w:tr>
    </w:tbl>
    <w:p w:rsidR="00E86BAF" w:rsidRPr="00EC1134" w:rsidRDefault="00E86BAF" w:rsidP="00E86BAF">
      <w:pPr>
        <w:pStyle w:val="BodyText"/>
        <w:rPr>
          <w:sz w:val="18"/>
          <w:lang w:val="nb-NO"/>
        </w:rPr>
      </w:pPr>
    </w:p>
    <w:p w:rsidR="00263805" w:rsidRPr="00EC1134" w:rsidRDefault="00A04E0A" w:rsidP="00B94CC7">
      <w:pPr>
        <w:pStyle w:val="Heading1"/>
      </w:pPr>
      <w:r w:rsidRPr="00EC1134">
        <w:t>Analyse</w:t>
      </w:r>
    </w:p>
    <w:p w:rsidR="0097608F" w:rsidRPr="00EC1134" w:rsidRDefault="0097608F" w:rsidP="0097608F">
      <w:pPr>
        <w:pStyle w:val="BodyText"/>
        <w:rPr>
          <w:lang w:val="nb-NO"/>
        </w:rPr>
      </w:pPr>
      <w:r w:rsidRPr="00EC1134">
        <w:rPr>
          <w:lang w:val="nb-NO"/>
        </w:rPr>
        <w:t>Beskrivelsen ovenfor av universitetets og fakultetets budsjettmodeller synliggjør en rekke problemstillinger, herunder</w:t>
      </w:r>
    </w:p>
    <w:p w:rsidR="0097608F" w:rsidRPr="00EC1134" w:rsidRDefault="0097608F" w:rsidP="0097608F">
      <w:pPr>
        <w:pStyle w:val="ListBullet"/>
        <w:rPr>
          <w:lang w:val="nb-NO"/>
        </w:rPr>
      </w:pPr>
      <w:r w:rsidRPr="00EC1134">
        <w:rPr>
          <w:lang w:val="nb-NO"/>
        </w:rPr>
        <w:t>dimensjonering av enhetene</w:t>
      </w:r>
    </w:p>
    <w:p w:rsidR="0097608F" w:rsidRPr="00EC1134" w:rsidRDefault="0097608F" w:rsidP="0097608F">
      <w:pPr>
        <w:pStyle w:val="ListBullet"/>
        <w:rPr>
          <w:lang w:val="nb-NO"/>
        </w:rPr>
      </w:pPr>
      <w:r w:rsidRPr="00EC1134">
        <w:rPr>
          <w:lang w:val="nb-NO"/>
        </w:rPr>
        <w:t>finansiering av fakultetsadministrasjonen</w:t>
      </w:r>
    </w:p>
    <w:p w:rsidR="0097608F" w:rsidRPr="00EC1134" w:rsidRDefault="0097608F" w:rsidP="0097608F">
      <w:pPr>
        <w:pStyle w:val="ListBullet"/>
        <w:rPr>
          <w:lang w:val="nb-NO"/>
        </w:rPr>
      </w:pPr>
      <w:r w:rsidRPr="00EC1134">
        <w:rPr>
          <w:lang w:val="nb-NO"/>
        </w:rPr>
        <w:t>internpriser</w:t>
      </w:r>
    </w:p>
    <w:p w:rsidR="0097608F" w:rsidRPr="00EC1134" w:rsidRDefault="0097608F" w:rsidP="0097608F">
      <w:pPr>
        <w:pStyle w:val="ListBullet"/>
        <w:rPr>
          <w:lang w:val="nb-NO"/>
        </w:rPr>
      </w:pPr>
      <w:r w:rsidRPr="00EC1134">
        <w:rPr>
          <w:lang w:val="nb-NO"/>
        </w:rPr>
        <w:t>fordeling versus satsninger</w:t>
      </w:r>
    </w:p>
    <w:p w:rsidR="0097608F" w:rsidRPr="00EC1134" w:rsidRDefault="0097608F" w:rsidP="0097608F">
      <w:pPr>
        <w:pStyle w:val="ListBullet"/>
        <w:rPr>
          <w:lang w:val="nb-NO"/>
        </w:rPr>
      </w:pPr>
      <w:r w:rsidRPr="00EC1134">
        <w:rPr>
          <w:lang w:val="nb-NO"/>
        </w:rPr>
        <w:t>incitamenter</w:t>
      </w:r>
    </w:p>
    <w:p w:rsidR="0097608F" w:rsidRPr="00EC1134" w:rsidRDefault="0097608F" w:rsidP="0097608F">
      <w:pPr>
        <w:pStyle w:val="ListBullet"/>
        <w:rPr>
          <w:lang w:val="nb-NO"/>
        </w:rPr>
      </w:pPr>
      <w:r w:rsidRPr="00EC1134">
        <w:rPr>
          <w:lang w:val="nb-NO"/>
        </w:rPr>
        <w:t>utjevning over tid</w:t>
      </w:r>
    </w:p>
    <w:p w:rsidR="0097608F" w:rsidRPr="00EC1134" w:rsidRDefault="0097608F" w:rsidP="0097608F">
      <w:pPr>
        <w:pStyle w:val="ListBullet"/>
        <w:rPr>
          <w:lang w:val="nb-NO"/>
        </w:rPr>
      </w:pPr>
      <w:r w:rsidRPr="00EC1134">
        <w:rPr>
          <w:lang w:val="nb-NO"/>
        </w:rPr>
        <w:t>opprydding og forenkling</w:t>
      </w:r>
    </w:p>
    <w:p w:rsidR="0097608F" w:rsidRPr="00EC1134" w:rsidRDefault="0097608F" w:rsidP="0097608F">
      <w:pPr>
        <w:pStyle w:val="ListBullet"/>
        <w:rPr>
          <w:lang w:val="nb-NO"/>
        </w:rPr>
      </w:pPr>
      <w:r w:rsidRPr="00EC1134">
        <w:rPr>
          <w:lang w:val="nb-NO"/>
        </w:rPr>
        <w:t>samsvar mellom UiO- og SV-fordeling</w:t>
      </w:r>
    </w:p>
    <w:p w:rsidR="00B94CC7" w:rsidRPr="00EC1134" w:rsidRDefault="0097608F" w:rsidP="00B94CC7">
      <w:pPr>
        <w:pStyle w:val="BodyText"/>
        <w:rPr>
          <w:lang w:val="nb-NO"/>
        </w:rPr>
      </w:pPr>
      <w:r w:rsidRPr="00EC1134">
        <w:rPr>
          <w:lang w:val="nb-NO"/>
        </w:rPr>
        <w:t>Nedenfor diskuteres disse problemstillingene, og det foreslås hvordan de kan håndteres.</w:t>
      </w:r>
    </w:p>
    <w:p w:rsidR="005B17BD" w:rsidRPr="00EC1134" w:rsidRDefault="00B94CC7" w:rsidP="00B94CC7">
      <w:pPr>
        <w:pStyle w:val="Heading2"/>
      </w:pPr>
      <w:r w:rsidRPr="00EC1134">
        <w:t>Dimensjonering</w:t>
      </w:r>
    </w:p>
    <w:p w:rsidR="00BE7762" w:rsidRPr="00EC1134" w:rsidRDefault="00BE7762" w:rsidP="00B94CC7">
      <w:pPr>
        <w:pStyle w:val="BodyText"/>
        <w:rPr>
          <w:lang w:val="nb-NO"/>
        </w:rPr>
      </w:pPr>
      <w:r w:rsidRPr="00EC1134">
        <w:rPr>
          <w:lang w:val="nb-NO"/>
        </w:rPr>
        <w:t>I dagens modell fordeles den såkalte "plantallspotten" etter plantall. Plantallspotten er det som står igjen etter at alle resultatmidler og øremerkede midler er fordelt, herunder det som går til fakultetsadministrasjonen. Plantallspotten (tillagt overføring for dekning av internhusleie) er i størrelse tilsvarende studieplassinntektene, der forskjellen utgjøres av netto betaling til fakultetsadministrasjonen.</w:t>
      </w:r>
    </w:p>
    <w:p w:rsidR="00503433" w:rsidRPr="00EC1134" w:rsidRDefault="00503433" w:rsidP="00503433">
      <w:pPr>
        <w:pStyle w:val="BodyText"/>
        <w:rPr>
          <w:lang w:val="nb-NO"/>
        </w:rPr>
      </w:pPr>
      <w:r w:rsidRPr="00EC1134">
        <w:rPr>
          <w:lang w:val="nb-NO"/>
        </w:rPr>
        <w:t xml:space="preserve">Plantallene går langt tilbake, med noen justeringer over tid. </w:t>
      </w:r>
      <w:r w:rsidRPr="00EC1134">
        <w:rPr>
          <w:lang w:val="nb-NO"/>
        </w:rPr>
        <w:fldChar w:fldCharType="begin"/>
      </w:r>
      <w:r w:rsidRPr="00EC1134">
        <w:rPr>
          <w:lang w:val="nb-NO"/>
        </w:rPr>
        <w:instrText xml:space="preserve"> REF _Ref509497686 \h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4</w:t>
      </w:r>
      <w:r w:rsidRPr="00EC1134">
        <w:rPr>
          <w:lang w:val="nb-NO"/>
        </w:rPr>
        <w:fldChar w:fldCharType="end"/>
      </w:r>
      <w:r w:rsidRPr="00EC1134">
        <w:rPr>
          <w:lang w:val="nb-NO"/>
        </w:rPr>
        <w:t xml:space="preserve"> viser plantall for perioden 2010 til 2018. </w:t>
      </w:r>
      <w:r w:rsidRPr="00C5389C">
        <w:rPr>
          <w:lang w:val="nb-NO"/>
        </w:rPr>
        <w:t xml:space="preserve">Plantallene ble endret i </w:t>
      </w:r>
      <w:r w:rsidR="00173EA7" w:rsidRPr="00C5389C">
        <w:rPr>
          <w:lang w:val="nb-NO"/>
        </w:rPr>
        <w:t xml:space="preserve">2012 </w:t>
      </w:r>
      <w:r w:rsidR="00C5389C" w:rsidRPr="00C5389C">
        <w:rPr>
          <w:lang w:val="nb-NO"/>
        </w:rPr>
        <w:t>i sammenheng med et ønske om å fjerne tilpasningsleddene i modellen, men uten at endringen skulle få økonomiske konsekvenser for enhetene</w:t>
      </w:r>
      <w:r w:rsidR="00173EA7" w:rsidRPr="00C5389C">
        <w:rPr>
          <w:lang w:val="nb-NO"/>
        </w:rPr>
        <w:t>.</w:t>
      </w:r>
      <w:r w:rsidR="00C5389C">
        <w:rPr>
          <w:rStyle w:val="FootnoteReference"/>
          <w:lang w:val="nb-NO"/>
        </w:rPr>
        <w:footnoteReference w:id="7"/>
      </w:r>
      <w:r w:rsidR="00173EA7" w:rsidRPr="00C5389C">
        <w:rPr>
          <w:lang w:val="nb-NO"/>
        </w:rPr>
        <w:t xml:space="preserve"> Endringen medførte at plantallene for ISV og SAI ble økt med henholdsvis 2 og 3, mens de ble reduserte for PSI, TIK og ØI med henholdsvis 3, 1 og 3; samlet ble plantallet redusert med 2.</w:t>
      </w:r>
      <w:r w:rsidR="00173EA7" w:rsidRPr="00EC1134">
        <w:rPr>
          <w:lang w:val="nb-NO"/>
        </w:rPr>
        <w:t xml:space="preserve"> Deretter har plantallene ligget fast.</w:t>
      </w:r>
      <w:r w:rsidR="00E154B8" w:rsidRPr="00EC1134">
        <w:rPr>
          <w:lang w:val="nb-NO"/>
        </w:rPr>
        <w:t xml:space="preserve"> I den grad endringer i studieplassinntekter etter</w:t>
      </w:r>
      <w:r w:rsidR="00EC1134">
        <w:rPr>
          <w:lang w:val="nb-NO"/>
        </w:rPr>
        <w:t xml:space="preserve"> 2012 er håndtert, har det skjed</w:t>
      </w:r>
      <w:r w:rsidR="00E154B8" w:rsidRPr="00EC1134">
        <w:rPr>
          <w:lang w:val="nb-NO"/>
        </w:rPr>
        <w:t xml:space="preserve">d gjennom </w:t>
      </w:r>
      <w:r w:rsidR="00E154B8" w:rsidRPr="00EC1134">
        <w:rPr>
          <w:i/>
          <w:lang w:val="nb-NO"/>
        </w:rPr>
        <w:t>ad hoc</w:t>
      </w:r>
      <w:r w:rsidR="00E154B8" w:rsidRPr="00EC1134">
        <w:rPr>
          <w:lang w:val="nb-NO"/>
        </w:rPr>
        <w:t xml:space="preserve"> tildelinger av øremerkede midler</w:t>
      </w:r>
      <w:r w:rsidR="007557C4">
        <w:rPr>
          <w:lang w:val="nb-NO"/>
        </w:rPr>
        <w:t xml:space="preserve"> (se nedenfor)</w:t>
      </w:r>
      <w:r w:rsidR="00E154B8" w:rsidRPr="00EC1134">
        <w:rPr>
          <w:lang w:val="nb-NO"/>
        </w:rPr>
        <w:t>.</w:t>
      </w:r>
    </w:p>
    <w:p w:rsidR="00503433" w:rsidRPr="00EC1134" w:rsidRDefault="00503433" w:rsidP="00503433">
      <w:pPr>
        <w:pStyle w:val="Caption"/>
        <w:keepNext/>
        <w:rPr>
          <w:lang w:val="nb-NO"/>
        </w:rPr>
      </w:pPr>
      <w:bookmarkStart w:id="4" w:name="_Ref509497686"/>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4</w:t>
      </w:r>
      <w:r w:rsidRPr="00EC1134">
        <w:rPr>
          <w:lang w:val="nb-NO"/>
        </w:rPr>
        <w:fldChar w:fldCharType="end"/>
      </w:r>
      <w:bookmarkEnd w:id="4"/>
      <w:r w:rsidRPr="00EC1134">
        <w:rPr>
          <w:lang w:val="nb-NO"/>
        </w:rPr>
        <w:t>: Plantall</w:t>
      </w:r>
    </w:p>
    <w:tbl>
      <w:tblPr>
        <w:tblW w:w="5000" w:type="pct"/>
        <w:tblCellMar>
          <w:left w:w="70" w:type="dxa"/>
          <w:right w:w="70" w:type="dxa"/>
        </w:tblCellMar>
        <w:tblLook w:val="04A0" w:firstRow="1" w:lastRow="0" w:firstColumn="1" w:lastColumn="0" w:noHBand="0" w:noVBand="1"/>
      </w:tblPr>
      <w:tblGrid>
        <w:gridCol w:w="781"/>
        <w:gridCol w:w="834"/>
        <w:gridCol w:w="835"/>
        <w:gridCol w:w="837"/>
        <w:gridCol w:w="835"/>
        <w:gridCol w:w="835"/>
        <w:gridCol w:w="837"/>
        <w:gridCol w:w="835"/>
        <w:gridCol w:w="835"/>
        <w:gridCol w:w="835"/>
      </w:tblGrid>
      <w:tr w:rsidR="009B01C4" w:rsidRPr="00EC1134" w:rsidTr="009B01C4">
        <w:trPr>
          <w:trHeight w:val="315"/>
        </w:trPr>
        <w:tc>
          <w:tcPr>
            <w:tcW w:w="471"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Enhet</w:t>
            </w:r>
          </w:p>
        </w:tc>
        <w:tc>
          <w:tcPr>
            <w:tcW w:w="503"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2010</w:t>
            </w:r>
          </w:p>
        </w:tc>
        <w:tc>
          <w:tcPr>
            <w:tcW w:w="503"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2011</w:t>
            </w:r>
          </w:p>
        </w:tc>
        <w:tc>
          <w:tcPr>
            <w:tcW w:w="504"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2012</w:t>
            </w:r>
          </w:p>
        </w:tc>
        <w:tc>
          <w:tcPr>
            <w:tcW w:w="503"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2013</w:t>
            </w:r>
          </w:p>
        </w:tc>
        <w:tc>
          <w:tcPr>
            <w:tcW w:w="503"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2014</w:t>
            </w:r>
          </w:p>
        </w:tc>
        <w:tc>
          <w:tcPr>
            <w:tcW w:w="504"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2015</w:t>
            </w:r>
          </w:p>
        </w:tc>
        <w:tc>
          <w:tcPr>
            <w:tcW w:w="503"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2016</w:t>
            </w:r>
          </w:p>
        </w:tc>
        <w:tc>
          <w:tcPr>
            <w:tcW w:w="503"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2017</w:t>
            </w:r>
          </w:p>
        </w:tc>
        <w:tc>
          <w:tcPr>
            <w:tcW w:w="504" w:type="pct"/>
            <w:tcBorders>
              <w:top w:val="single" w:sz="8" w:space="0" w:color="000000"/>
              <w:left w:val="nil"/>
              <w:bottom w:val="single" w:sz="8" w:space="0" w:color="000000"/>
              <w:right w:val="nil"/>
            </w:tcBorders>
            <w:shd w:val="clear" w:color="auto" w:fill="auto"/>
            <w:vAlign w:val="center"/>
            <w:hideMark/>
          </w:tcPr>
          <w:p w:rsidR="009B01C4" w:rsidRPr="00EC1134" w:rsidRDefault="009B01C4" w:rsidP="009B01C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2018</w:t>
            </w:r>
          </w:p>
        </w:tc>
      </w:tr>
      <w:tr w:rsidR="009B01C4" w:rsidRPr="00EC1134" w:rsidTr="009B01C4">
        <w:trPr>
          <w:trHeight w:val="345"/>
        </w:trPr>
        <w:tc>
          <w:tcPr>
            <w:tcW w:w="471" w:type="pct"/>
            <w:tcBorders>
              <w:top w:val="nil"/>
              <w:left w:val="nil"/>
              <w:bottom w:val="nil"/>
              <w:right w:val="nil"/>
            </w:tcBorders>
            <w:shd w:val="clear" w:color="000000" w:fill="CCCCCC"/>
            <w:vAlign w:val="center"/>
            <w:hideMark/>
          </w:tcPr>
          <w:p w:rsidR="009B01C4" w:rsidRPr="00EC1134" w:rsidRDefault="009B01C4" w:rsidP="009B01C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ISS</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32</w:t>
            </w:r>
          </w:p>
        </w:tc>
      </w:tr>
      <w:tr w:rsidR="009B01C4" w:rsidRPr="00EC1134" w:rsidTr="009B01C4">
        <w:trPr>
          <w:trHeight w:val="345"/>
        </w:trPr>
        <w:tc>
          <w:tcPr>
            <w:tcW w:w="471" w:type="pct"/>
            <w:tcBorders>
              <w:top w:val="nil"/>
              <w:left w:val="nil"/>
              <w:bottom w:val="nil"/>
              <w:right w:val="nil"/>
            </w:tcBorders>
            <w:shd w:val="clear" w:color="auto" w:fill="auto"/>
            <w:vAlign w:val="center"/>
            <w:hideMark/>
          </w:tcPr>
          <w:p w:rsidR="009B01C4" w:rsidRPr="00EC1134" w:rsidRDefault="009B01C4" w:rsidP="009B01C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ISV</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31</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31</w:t>
            </w:r>
          </w:p>
        </w:tc>
        <w:tc>
          <w:tcPr>
            <w:tcW w:w="504"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33</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33</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33</w:t>
            </w:r>
          </w:p>
        </w:tc>
        <w:tc>
          <w:tcPr>
            <w:tcW w:w="504"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33</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33</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33</w:t>
            </w:r>
          </w:p>
        </w:tc>
        <w:tc>
          <w:tcPr>
            <w:tcW w:w="504"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33</w:t>
            </w:r>
          </w:p>
        </w:tc>
      </w:tr>
      <w:tr w:rsidR="009B01C4" w:rsidRPr="00EC1134" w:rsidTr="009B01C4">
        <w:trPr>
          <w:trHeight w:val="345"/>
        </w:trPr>
        <w:tc>
          <w:tcPr>
            <w:tcW w:w="471" w:type="pct"/>
            <w:tcBorders>
              <w:top w:val="nil"/>
              <w:left w:val="nil"/>
              <w:bottom w:val="nil"/>
              <w:right w:val="nil"/>
            </w:tcBorders>
            <w:shd w:val="clear" w:color="000000" w:fill="CCCCCC"/>
            <w:vAlign w:val="center"/>
            <w:hideMark/>
          </w:tcPr>
          <w:p w:rsidR="009B01C4" w:rsidRPr="00EC1134" w:rsidRDefault="009B01C4" w:rsidP="009B01C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PSI</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55</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55</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52</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52</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52</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52</w:t>
            </w:r>
          </w:p>
        </w:tc>
      </w:tr>
      <w:tr w:rsidR="009B01C4" w:rsidRPr="00EC1134" w:rsidTr="009B01C4">
        <w:trPr>
          <w:trHeight w:val="345"/>
        </w:trPr>
        <w:tc>
          <w:tcPr>
            <w:tcW w:w="471" w:type="pct"/>
            <w:tcBorders>
              <w:top w:val="nil"/>
              <w:left w:val="nil"/>
              <w:bottom w:val="nil"/>
              <w:right w:val="nil"/>
            </w:tcBorders>
            <w:shd w:val="clear" w:color="auto" w:fill="auto"/>
            <w:vAlign w:val="center"/>
            <w:hideMark/>
          </w:tcPr>
          <w:p w:rsidR="009B01C4" w:rsidRPr="00EC1134" w:rsidRDefault="009B01C4" w:rsidP="009B01C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SAI</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w:t>
            </w:r>
          </w:p>
        </w:tc>
        <w:tc>
          <w:tcPr>
            <w:tcW w:w="504"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4"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3"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4" w:type="pct"/>
            <w:tcBorders>
              <w:top w:val="nil"/>
              <w:left w:val="nil"/>
              <w:bottom w:val="nil"/>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r>
      <w:tr w:rsidR="009B01C4" w:rsidRPr="00EC1134" w:rsidTr="009B01C4">
        <w:trPr>
          <w:trHeight w:val="345"/>
        </w:trPr>
        <w:tc>
          <w:tcPr>
            <w:tcW w:w="471" w:type="pct"/>
            <w:tcBorders>
              <w:top w:val="nil"/>
              <w:left w:val="nil"/>
              <w:bottom w:val="nil"/>
              <w:right w:val="nil"/>
            </w:tcBorders>
            <w:shd w:val="clear" w:color="000000" w:fill="CCCCCC"/>
            <w:vAlign w:val="center"/>
            <w:hideMark/>
          </w:tcPr>
          <w:p w:rsidR="009B01C4" w:rsidRPr="00EC1134" w:rsidRDefault="009B01C4" w:rsidP="009B01C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TIK</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r>
      <w:tr w:rsidR="009B01C4" w:rsidRPr="00EC1134" w:rsidTr="009B01C4">
        <w:trPr>
          <w:trHeight w:val="360"/>
        </w:trPr>
        <w:tc>
          <w:tcPr>
            <w:tcW w:w="471" w:type="pct"/>
            <w:tcBorders>
              <w:top w:val="nil"/>
              <w:left w:val="nil"/>
              <w:bottom w:val="single" w:sz="8" w:space="0" w:color="000000"/>
              <w:right w:val="nil"/>
            </w:tcBorders>
            <w:shd w:val="clear" w:color="auto" w:fill="auto"/>
            <w:vAlign w:val="center"/>
            <w:hideMark/>
          </w:tcPr>
          <w:p w:rsidR="009B01C4" w:rsidRPr="00EC1134" w:rsidRDefault="009B01C4" w:rsidP="009B01C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ØI</w:t>
            </w:r>
          </w:p>
        </w:tc>
        <w:tc>
          <w:tcPr>
            <w:tcW w:w="503"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29</w:t>
            </w:r>
          </w:p>
        </w:tc>
        <w:tc>
          <w:tcPr>
            <w:tcW w:w="503"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29</w:t>
            </w:r>
          </w:p>
        </w:tc>
        <w:tc>
          <w:tcPr>
            <w:tcW w:w="504"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26</w:t>
            </w:r>
          </w:p>
        </w:tc>
        <w:tc>
          <w:tcPr>
            <w:tcW w:w="503"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26</w:t>
            </w:r>
          </w:p>
        </w:tc>
        <w:tc>
          <w:tcPr>
            <w:tcW w:w="503"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26</w:t>
            </w:r>
          </w:p>
        </w:tc>
        <w:tc>
          <w:tcPr>
            <w:tcW w:w="504"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26</w:t>
            </w:r>
          </w:p>
        </w:tc>
        <w:tc>
          <w:tcPr>
            <w:tcW w:w="503"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26</w:t>
            </w:r>
          </w:p>
        </w:tc>
        <w:tc>
          <w:tcPr>
            <w:tcW w:w="503"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26</w:t>
            </w:r>
          </w:p>
        </w:tc>
        <w:tc>
          <w:tcPr>
            <w:tcW w:w="504" w:type="pct"/>
            <w:tcBorders>
              <w:top w:val="nil"/>
              <w:left w:val="nil"/>
              <w:bottom w:val="single" w:sz="8" w:space="0" w:color="000000"/>
              <w:right w:val="nil"/>
            </w:tcBorders>
            <w:shd w:val="clear" w:color="auto" w:fill="auto"/>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26</w:t>
            </w:r>
          </w:p>
        </w:tc>
      </w:tr>
      <w:tr w:rsidR="009B01C4" w:rsidRPr="00EC1134" w:rsidTr="009B01C4">
        <w:trPr>
          <w:trHeight w:val="345"/>
        </w:trPr>
        <w:tc>
          <w:tcPr>
            <w:tcW w:w="471" w:type="pct"/>
            <w:tcBorders>
              <w:top w:val="nil"/>
              <w:left w:val="nil"/>
              <w:bottom w:val="nil"/>
              <w:right w:val="nil"/>
            </w:tcBorders>
            <w:shd w:val="clear" w:color="000000" w:fill="CCCCCC"/>
            <w:vAlign w:val="center"/>
            <w:hideMark/>
          </w:tcPr>
          <w:p w:rsidR="009B01C4" w:rsidRPr="00EC1134" w:rsidRDefault="009B01C4" w:rsidP="009B01C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Sum</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169</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169</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167</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167</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167</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167</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167</w:t>
            </w:r>
          </w:p>
        </w:tc>
        <w:tc>
          <w:tcPr>
            <w:tcW w:w="503"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167</w:t>
            </w:r>
          </w:p>
        </w:tc>
        <w:tc>
          <w:tcPr>
            <w:tcW w:w="504" w:type="pct"/>
            <w:tcBorders>
              <w:top w:val="nil"/>
              <w:left w:val="nil"/>
              <w:bottom w:val="nil"/>
              <w:right w:val="nil"/>
            </w:tcBorders>
            <w:shd w:val="clear" w:color="000000" w:fill="CCCCCC"/>
            <w:vAlign w:val="center"/>
            <w:hideMark/>
          </w:tcPr>
          <w:p w:rsidR="009B01C4" w:rsidRPr="00EC1134" w:rsidRDefault="009B01C4" w:rsidP="009B01C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167</w:t>
            </w:r>
          </w:p>
        </w:tc>
      </w:tr>
    </w:tbl>
    <w:p w:rsidR="00503433" w:rsidRPr="00EC1134" w:rsidRDefault="00503433" w:rsidP="00B94CC7">
      <w:pPr>
        <w:pStyle w:val="BodyText"/>
        <w:rPr>
          <w:lang w:val="nb-NO"/>
        </w:rPr>
      </w:pPr>
    </w:p>
    <w:p w:rsidR="00BE7762" w:rsidRPr="00EC1134" w:rsidRDefault="00503433" w:rsidP="00B94CC7">
      <w:pPr>
        <w:pStyle w:val="BodyText"/>
        <w:rPr>
          <w:lang w:val="nb-NO"/>
        </w:rPr>
      </w:pPr>
      <w:r w:rsidRPr="00EC1134">
        <w:rPr>
          <w:lang w:val="nb-NO"/>
        </w:rPr>
        <w:t xml:space="preserve">Plantallene </w:t>
      </w:r>
      <w:r w:rsidR="00BE7762" w:rsidRPr="00EC1134">
        <w:rPr>
          <w:lang w:val="nb-NO"/>
        </w:rPr>
        <w:t xml:space="preserve">fremstår idag som vanskelige å begrunne, og det er nødvendig med en bedre forankring av </w:t>
      </w:r>
      <w:r w:rsidR="00F90F75" w:rsidRPr="00EC1134">
        <w:rPr>
          <w:lang w:val="nb-NO"/>
        </w:rPr>
        <w:t xml:space="preserve">dimensjoneringen av </w:t>
      </w:r>
      <w:r w:rsidR="0097608F" w:rsidRPr="00EC1134">
        <w:rPr>
          <w:lang w:val="nb-NO"/>
        </w:rPr>
        <w:t>enhetene, eller – om en vil – et</w:t>
      </w:r>
      <w:r w:rsidR="00F90F75" w:rsidRPr="00EC1134">
        <w:rPr>
          <w:lang w:val="nb-NO"/>
        </w:rPr>
        <w:t xml:space="preserve"> bedre </w:t>
      </w:r>
      <w:r w:rsidR="0097608F" w:rsidRPr="00EC1134">
        <w:rPr>
          <w:lang w:val="nb-NO"/>
        </w:rPr>
        <w:t>grunnlag</w:t>
      </w:r>
      <w:r w:rsidR="00F90F75" w:rsidRPr="00EC1134">
        <w:rPr>
          <w:lang w:val="nb-NO"/>
        </w:rPr>
        <w:t xml:space="preserve"> for fordelingen av studieplassinntektene.</w:t>
      </w:r>
    </w:p>
    <w:p w:rsidR="00F90F75" w:rsidRPr="00EC1134" w:rsidRDefault="00C173CE" w:rsidP="00B94CC7">
      <w:pPr>
        <w:pStyle w:val="BodyText"/>
        <w:rPr>
          <w:lang w:val="nb-NO"/>
        </w:rPr>
      </w:pPr>
      <w:r w:rsidRPr="00EC1134">
        <w:rPr>
          <w:lang w:val="nb-NO"/>
        </w:rPr>
        <w:t>Den</w:t>
      </w:r>
      <w:r w:rsidR="00F90F75" w:rsidRPr="00EC1134">
        <w:rPr>
          <w:lang w:val="nb-NO"/>
        </w:rPr>
        <w:t xml:space="preserve"> mest nærliggende </w:t>
      </w:r>
      <w:r w:rsidRPr="00EC1134">
        <w:rPr>
          <w:lang w:val="nb-NO"/>
        </w:rPr>
        <w:t xml:space="preserve">erstatning for plantallene </w:t>
      </w:r>
      <w:r w:rsidR="00F90F75" w:rsidRPr="00EC1134">
        <w:rPr>
          <w:lang w:val="nb-NO"/>
        </w:rPr>
        <w:t>er å ta utgangspunkt i studieplasser, slik det gjøres i universitetets modell.</w:t>
      </w:r>
      <w:r w:rsidR="00173EA7" w:rsidRPr="00EC1134">
        <w:rPr>
          <w:rStyle w:val="FootnoteReference"/>
          <w:lang w:val="nb-NO"/>
        </w:rPr>
        <w:t xml:space="preserve"> </w:t>
      </w:r>
      <w:r w:rsidR="00173EA7" w:rsidRPr="00EC1134">
        <w:rPr>
          <w:rStyle w:val="FootnoteReference"/>
          <w:lang w:val="nb-NO"/>
        </w:rPr>
        <w:footnoteReference w:id="8"/>
      </w:r>
      <w:r w:rsidR="00F90F75" w:rsidRPr="00EC1134">
        <w:rPr>
          <w:lang w:val="nb-NO"/>
        </w:rPr>
        <w:t xml:space="preserve"> Universitetets </w:t>
      </w:r>
      <w:r w:rsidRPr="00EC1134">
        <w:rPr>
          <w:lang w:val="nb-NO"/>
        </w:rPr>
        <w:t>studieplass</w:t>
      </w:r>
      <w:r w:rsidR="00F90F75" w:rsidRPr="00EC1134">
        <w:rPr>
          <w:lang w:val="nb-NO"/>
        </w:rPr>
        <w:t>tall er imidlertid ikke brutt ned på enhetene, og det må derfor finnes en nøkkel for å fordele studieplassene på enhetene. Det er i realiteten to alternativer, faktiske studenttall og opptaksrammer.</w:t>
      </w:r>
    </w:p>
    <w:p w:rsidR="00F90F75" w:rsidRPr="00EC1134" w:rsidRDefault="00F90F75" w:rsidP="00B94CC7">
      <w:pPr>
        <w:pStyle w:val="BodyText"/>
        <w:rPr>
          <w:lang w:val="nb-NO"/>
        </w:rPr>
      </w:pPr>
      <w:r w:rsidRPr="00EC1134">
        <w:rPr>
          <w:lang w:val="nb-NO"/>
        </w:rPr>
        <w:t>En fordel med å bruke studenttall, er at de er gode uttrykk for den faktiske aktiviteten. Imidlertid ville studenttall (enten man bruker studiepoeng eller uteksaminerte kandidater) forsterke resultatkomponentene; det ville gi svært sterke incitamenter til å øke studenttallene og kunne friste til å senke kvalitetskravene for å øke produksjonen.</w:t>
      </w:r>
      <w:r w:rsidR="00C173CE" w:rsidRPr="00EC1134">
        <w:rPr>
          <w:lang w:val="nb-NO"/>
        </w:rPr>
        <w:t xml:space="preserve"> Studenttallene varierer også over tid, noe som ville gi uforutsigbarhet med hensyn til tildelingen.</w:t>
      </w:r>
    </w:p>
    <w:p w:rsidR="00F90F75" w:rsidRPr="00EC1134" w:rsidRDefault="00C173CE" w:rsidP="00B94CC7">
      <w:pPr>
        <w:pStyle w:val="BodyText"/>
        <w:rPr>
          <w:lang w:val="nb-NO"/>
        </w:rPr>
      </w:pPr>
      <w:r w:rsidRPr="00EC1134">
        <w:rPr>
          <w:lang w:val="nb-NO"/>
        </w:rPr>
        <w:t>Opptaksrammene er mer stabile enn studenttallene, noe som ville bidra til stabilitet og forutsigbarhet. Ved å bruke opptaksrammer, vil</w:t>
      </w:r>
      <w:r w:rsidR="00F90F75" w:rsidRPr="00EC1134">
        <w:rPr>
          <w:lang w:val="nb-NO"/>
        </w:rPr>
        <w:t xml:space="preserve"> man </w:t>
      </w:r>
      <w:r w:rsidRPr="00EC1134">
        <w:rPr>
          <w:lang w:val="nb-NO"/>
        </w:rPr>
        <w:t xml:space="preserve">også </w:t>
      </w:r>
      <w:r w:rsidR="00F90F75" w:rsidRPr="00EC1134">
        <w:rPr>
          <w:lang w:val="nb-NO"/>
        </w:rPr>
        <w:t xml:space="preserve">få en direkte sammenheng mellom fakultetsstyrets faglige prioriteringer og den budsjettmessige uttellingen. </w:t>
      </w:r>
    </w:p>
    <w:p w:rsidR="004E1D09" w:rsidRPr="00EC1134" w:rsidRDefault="008D3F26" w:rsidP="00B94CC7">
      <w:pPr>
        <w:pStyle w:val="BodyText"/>
        <w:rPr>
          <w:lang w:val="nb-NO"/>
        </w:rPr>
      </w:pPr>
      <w:r w:rsidRPr="00EC1134">
        <w:rPr>
          <w:lang w:val="nb-NO"/>
        </w:rPr>
        <w:t>Som det fremgår av</w:t>
      </w:r>
      <w:r w:rsidR="00994C4D" w:rsidRPr="00EC1134">
        <w:rPr>
          <w:lang w:val="nb-NO"/>
        </w:rPr>
        <w:t xml:space="preserve"> </w:t>
      </w:r>
      <w:r w:rsidR="00994C4D" w:rsidRPr="00EC1134">
        <w:rPr>
          <w:lang w:val="nb-NO"/>
        </w:rPr>
        <w:fldChar w:fldCharType="begin"/>
      </w:r>
      <w:r w:rsidR="00994C4D" w:rsidRPr="00EC1134">
        <w:rPr>
          <w:lang w:val="nb-NO"/>
        </w:rPr>
        <w:instrText xml:space="preserve"> REF _Ref505601838 \h \*Lower </w:instrText>
      </w:r>
      <w:r w:rsidR="00994C4D" w:rsidRPr="00EC1134">
        <w:rPr>
          <w:lang w:val="nb-NO"/>
        </w:rPr>
      </w:r>
      <w:r w:rsidR="00994C4D" w:rsidRPr="00EC1134">
        <w:rPr>
          <w:lang w:val="nb-NO"/>
        </w:rPr>
        <w:fldChar w:fldCharType="separate"/>
      </w:r>
      <w:r w:rsidR="00B759DD" w:rsidRPr="00EC1134">
        <w:rPr>
          <w:lang w:val="nb-NO"/>
        </w:rPr>
        <w:t xml:space="preserve">tabell </w:t>
      </w:r>
      <w:r w:rsidR="00B759DD">
        <w:rPr>
          <w:noProof/>
          <w:lang w:val="nb-NO"/>
        </w:rPr>
        <w:t>5</w:t>
      </w:r>
      <w:r w:rsidR="00994C4D" w:rsidRPr="00EC1134">
        <w:rPr>
          <w:lang w:val="nb-NO"/>
        </w:rPr>
        <w:fldChar w:fldCharType="end"/>
      </w:r>
      <w:r w:rsidR="00262F99" w:rsidRPr="00EC1134">
        <w:rPr>
          <w:lang w:val="nb-NO"/>
        </w:rPr>
        <w:t xml:space="preserve">, er det i praksis </w:t>
      </w:r>
      <w:r w:rsidR="004E1D09" w:rsidRPr="00EC1134">
        <w:rPr>
          <w:lang w:val="nb-NO"/>
        </w:rPr>
        <w:t>ikke så stor forskjell på å velge opptaksrammer eller s</w:t>
      </w:r>
      <w:r w:rsidRPr="00EC1134">
        <w:rPr>
          <w:lang w:val="nb-NO"/>
        </w:rPr>
        <w:t>tudenttall.</w:t>
      </w:r>
    </w:p>
    <w:p w:rsidR="008E1468" w:rsidRPr="00EC1134" w:rsidRDefault="008E1468" w:rsidP="008E1468">
      <w:pPr>
        <w:pStyle w:val="Caption"/>
        <w:keepNext/>
        <w:rPr>
          <w:lang w:val="nb-NO"/>
        </w:rPr>
      </w:pPr>
      <w:bookmarkStart w:id="5" w:name="_Ref505601838"/>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5</w:t>
      </w:r>
      <w:r w:rsidRPr="00EC1134">
        <w:rPr>
          <w:lang w:val="nb-NO"/>
        </w:rPr>
        <w:fldChar w:fldCharType="end"/>
      </w:r>
      <w:bookmarkEnd w:id="5"/>
      <w:r w:rsidRPr="00EC1134">
        <w:rPr>
          <w:lang w:val="nb-NO"/>
        </w:rPr>
        <w:t xml:space="preserve">: </w:t>
      </w:r>
      <w:r w:rsidR="00C173CE" w:rsidRPr="00EC1134">
        <w:rPr>
          <w:lang w:val="nb-NO"/>
        </w:rPr>
        <w:t>Andel av</w:t>
      </w:r>
      <w:r w:rsidRPr="00EC1134">
        <w:rPr>
          <w:lang w:val="nb-NO"/>
        </w:rPr>
        <w:t xml:space="preserve"> henholdsvis opptaksrammer og studenttall</w:t>
      </w:r>
      <w:r w:rsidR="00686064" w:rsidRPr="00EC1134">
        <w:rPr>
          <w:lang w:val="nb-NO"/>
        </w:rPr>
        <w:t>, prosent</w:t>
      </w:r>
    </w:p>
    <w:tbl>
      <w:tblPr>
        <w:tblStyle w:val="ListTable6Colorful"/>
        <w:tblW w:w="5000" w:type="pct"/>
        <w:tblLayout w:type="fixed"/>
        <w:tblLook w:val="04A0" w:firstRow="1" w:lastRow="0" w:firstColumn="1" w:lastColumn="0" w:noHBand="0" w:noVBand="1"/>
      </w:tblPr>
      <w:tblGrid>
        <w:gridCol w:w="1970"/>
        <w:gridCol w:w="2251"/>
        <w:gridCol w:w="4078"/>
      </w:tblGrid>
      <w:tr w:rsidR="004E1D09" w:rsidRPr="00EC1134" w:rsidTr="008D3F2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87" w:type="pct"/>
            <w:vAlign w:val="center"/>
            <w:hideMark/>
          </w:tcPr>
          <w:p w:rsidR="004E1D09" w:rsidRPr="00EC1134" w:rsidRDefault="004E1D09" w:rsidP="008D3F26">
            <w:pPr>
              <w:keepNext/>
              <w:keepLines/>
              <w:widowControl w:val="0"/>
              <w:jc w:val="center"/>
              <w:rPr>
                <w:rFonts w:eastAsia="Times New Roman" w:cs="Times New Roman"/>
                <w:b w:val="0"/>
                <w:bCs w:val="0"/>
                <w:color w:val="000000"/>
                <w:sz w:val="22"/>
                <w:szCs w:val="22"/>
                <w:lang w:eastAsia="nb-NO"/>
              </w:rPr>
            </w:pPr>
          </w:p>
        </w:tc>
        <w:tc>
          <w:tcPr>
            <w:tcW w:w="1356" w:type="pct"/>
            <w:vAlign w:val="center"/>
            <w:hideMark/>
          </w:tcPr>
          <w:p w:rsidR="004E1D09" w:rsidRPr="00EC1134" w:rsidRDefault="004E1D09" w:rsidP="008D3F26">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Opptaksrammer</w:t>
            </w:r>
          </w:p>
        </w:tc>
        <w:tc>
          <w:tcPr>
            <w:tcW w:w="2457" w:type="pct"/>
            <w:vAlign w:val="center"/>
            <w:hideMark/>
          </w:tcPr>
          <w:p w:rsidR="004E1D09" w:rsidRPr="00EC1134" w:rsidRDefault="004E1D09" w:rsidP="008D3F26">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S</w:t>
            </w:r>
            <w:r w:rsidRPr="00EC1134">
              <w:rPr>
                <w:rFonts w:eastAsia="Times New Roman" w:cs="Times New Roman"/>
                <w:bCs w:val="0"/>
                <w:color w:val="000000"/>
                <w:sz w:val="22"/>
                <w:szCs w:val="22"/>
                <w:lang w:eastAsia="nb-NO"/>
              </w:rPr>
              <w:t>tud</w:t>
            </w:r>
            <w:r w:rsidR="008D3F26" w:rsidRPr="00EC1134">
              <w:rPr>
                <w:rFonts w:eastAsia="Times New Roman" w:cs="Times New Roman"/>
                <w:bCs w:val="0"/>
                <w:color w:val="000000"/>
                <w:sz w:val="22"/>
                <w:szCs w:val="22"/>
                <w:lang w:eastAsia="nb-NO"/>
              </w:rPr>
              <w:t>enttall</w:t>
            </w:r>
          </w:p>
        </w:tc>
      </w:tr>
      <w:tr w:rsidR="004E1D09" w:rsidRPr="00EC1134" w:rsidTr="008D3F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hideMark/>
          </w:tcPr>
          <w:p w:rsidR="004E1D09" w:rsidRPr="00EC1134" w:rsidRDefault="004E1D09" w:rsidP="008D3F26">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IS</w:t>
            </w:r>
            <w:r w:rsidR="008D3F26" w:rsidRPr="00EC1134">
              <w:rPr>
                <w:rFonts w:eastAsia="Times New Roman" w:cs="Times New Roman"/>
                <w:bCs w:val="0"/>
                <w:color w:val="000000"/>
                <w:sz w:val="22"/>
                <w:szCs w:val="22"/>
                <w:lang w:eastAsia="nb-NO"/>
              </w:rPr>
              <w:t>S</w:t>
            </w:r>
          </w:p>
        </w:tc>
        <w:tc>
          <w:tcPr>
            <w:tcW w:w="1356" w:type="pct"/>
            <w:vAlign w:val="center"/>
            <w:hideMark/>
          </w:tcPr>
          <w:p w:rsidR="004E1D09" w:rsidRPr="00EC1134" w:rsidRDefault="008D3F26" w:rsidP="008D3F26">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15</w:t>
            </w:r>
          </w:p>
        </w:tc>
        <w:tc>
          <w:tcPr>
            <w:tcW w:w="2457" w:type="pct"/>
            <w:vAlign w:val="center"/>
            <w:hideMark/>
          </w:tcPr>
          <w:p w:rsidR="004E1D09" w:rsidRPr="00EC1134" w:rsidRDefault="008D3F26" w:rsidP="008D3F26">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14</w:t>
            </w:r>
          </w:p>
        </w:tc>
      </w:tr>
      <w:tr w:rsidR="004E1D09" w:rsidRPr="00EC1134" w:rsidTr="008D3F26">
        <w:trPr>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hideMark/>
          </w:tcPr>
          <w:p w:rsidR="004E1D09" w:rsidRPr="00EC1134" w:rsidRDefault="004E1D09" w:rsidP="008D3F26">
            <w:pPr>
              <w:keepNext/>
              <w:keepLines/>
              <w:widowControl w:val="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IS</w:t>
            </w:r>
            <w:r w:rsidR="008D3F26" w:rsidRPr="00EC1134">
              <w:rPr>
                <w:rFonts w:eastAsia="Times New Roman" w:cs="Times New Roman"/>
                <w:color w:val="000000"/>
                <w:sz w:val="22"/>
                <w:szCs w:val="22"/>
                <w:lang w:eastAsia="nb-NO"/>
              </w:rPr>
              <w:t>V</w:t>
            </w:r>
          </w:p>
        </w:tc>
        <w:tc>
          <w:tcPr>
            <w:tcW w:w="1356" w:type="pct"/>
            <w:vAlign w:val="center"/>
            <w:hideMark/>
          </w:tcPr>
          <w:p w:rsidR="004E1D09" w:rsidRPr="00EC1134" w:rsidRDefault="008D3F26" w:rsidP="008D3F26">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17</w:t>
            </w:r>
          </w:p>
        </w:tc>
        <w:tc>
          <w:tcPr>
            <w:tcW w:w="2457" w:type="pct"/>
            <w:vAlign w:val="center"/>
            <w:hideMark/>
          </w:tcPr>
          <w:p w:rsidR="004E1D09" w:rsidRPr="00EC1134" w:rsidRDefault="008D3F26" w:rsidP="005039FA">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r w:rsidR="005039FA" w:rsidRPr="00EC1134">
              <w:rPr>
                <w:rFonts w:eastAsia="Times New Roman" w:cs="Times New Roman"/>
                <w:color w:val="000000"/>
                <w:sz w:val="22"/>
                <w:szCs w:val="22"/>
                <w:lang w:eastAsia="nb-NO"/>
              </w:rPr>
              <w:t>8</w:t>
            </w:r>
          </w:p>
        </w:tc>
      </w:tr>
      <w:tr w:rsidR="004E1D09" w:rsidRPr="00EC1134" w:rsidTr="008D3F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tcPr>
          <w:p w:rsidR="004E1D09" w:rsidRPr="00EC1134" w:rsidRDefault="004E1D09" w:rsidP="008D3F26">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PSI</w:t>
            </w:r>
          </w:p>
        </w:tc>
        <w:tc>
          <w:tcPr>
            <w:tcW w:w="1356" w:type="pct"/>
            <w:vAlign w:val="center"/>
          </w:tcPr>
          <w:p w:rsidR="004E1D09" w:rsidRPr="00EC1134" w:rsidRDefault="008D3F26" w:rsidP="008D3F26">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50</w:t>
            </w:r>
          </w:p>
        </w:tc>
        <w:tc>
          <w:tcPr>
            <w:tcW w:w="2457" w:type="pct"/>
            <w:vAlign w:val="center"/>
          </w:tcPr>
          <w:p w:rsidR="004E1D09" w:rsidRPr="00EC1134" w:rsidRDefault="005039FA" w:rsidP="008D3F26">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51</w:t>
            </w:r>
          </w:p>
        </w:tc>
      </w:tr>
      <w:tr w:rsidR="004E1D09" w:rsidRPr="00EC1134" w:rsidTr="008D3F26">
        <w:trPr>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tcPr>
          <w:p w:rsidR="004E1D09" w:rsidRPr="00EC1134" w:rsidRDefault="004E1D09" w:rsidP="008D3F26">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SAI</w:t>
            </w:r>
          </w:p>
        </w:tc>
        <w:tc>
          <w:tcPr>
            <w:tcW w:w="1356" w:type="pct"/>
            <w:vAlign w:val="center"/>
          </w:tcPr>
          <w:p w:rsidR="004E1D09" w:rsidRPr="00EC1134" w:rsidRDefault="009B01C4" w:rsidP="008D3F26">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p>
        </w:tc>
        <w:tc>
          <w:tcPr>
            <w:tcW w:w="2457" w:type="pct"/>
            <w:vAlign w:val="center"/>
          </w:tcPr>
          <w:p w:rsidR="004E1D09" w:rsidRPr="00EC1134" w:rsidRDefault="009B01C4" w:rsidP="008D3F26">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p>
        </w:tc>
      </w:tr>
      <w:tr w:rsidR="004E1D09" w:rsidRPr="00EC1134" w:rsidTr="008D3F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tcPr>
          <w:p w:rsidR="004E1D09" w:rsidRPr="00EC1134" w:rsidRDefault="008D3F26" w:rsidP="008D3F26">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TIK</w:t>
            </w:r>
          </w:p>
        </w:tc>
        <w:tc>
          <w:tcPr>
            <w:tcW w:w="1356" w:type="pct"/>
            <w:vAlign w:val="center"/>
          </w:tcPr>
          <w:p w:rsidR="004E1D09" w:rsidRPr="00EC1134" w:rsidRDefault="008D3F26" w:rsidP="008D3F26">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p>
        </w:tc>
        <w:tc>
          <w:tcPr>
            <w:tcW w:w="2457" w:type="pct"/>
            <w:vAlign w:val="center"/>
          </w:tcPr>
          <w:p w:rsidR="004E1D09" w:rsidRPr="00EC1134" w:rsidRDefault="008D3F26" w:rsidP="008D3F26">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p>
        </w:tc>
      </w:tr>
      <w:tr w:rsidR="004E1D09" w:rsidRPr="00EC1134" w:rsidTr="008D3F26">
        <w:trPr>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hideMark/>
          </w:tcPr>
          <w:p w:rsidR="004E1D09" w:rsidRPr="00EC1134" w:rsidRDefault="008D3F26" w:rsidP="008D3F26">
            <w:pPr>
              <w:keepNext/>
              <w:keepLines/>
              <w:widowControl w:val="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ØI</w:t>
            </w:r>
          </w:p>
        </w:tc>
        <w:tc>
          <w:tcPr>
            <w:tcW w:w="1356" w:type="pct"/>
            <w:vAlign w:val="center"/>
            <w:hideMark/>
          </w:tcPr>
          <w:p w:rsidR="004E1D09" w:rsidRPr="00EC1134" w:rsidRDefault="008D3F26" w:rsidP="008D3F26">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11</w:t>
            </w:r>
          </w:p>
        </w:tc>
        <w:tc>
          <w:tcPr>
            <w:tcW w:w="2457" w:type="pct"/>
            <w:vAlign w:val="center"/>
            <w:hideMark/>
          </w:tcPr>
          <w:p w:rsidR="004E1D09" w:rsidRPr="00EC1134" w:rsidRDefault="005039FA" w:rsidP="008D3F26">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11</w:t>
            </w:r>
          </w:p>
        </w:tc>
      </w:tr>
    </w:tbl>
    <w:p w:rsidR="004E1D09" w:rsidRPr="00EC1134" w:rsidRDefault="00262F99" w:rsidP="004E1D09">
      <w:pPr>
        <w:pStyle w:val="BodyText"/>
        <w:rPr>
          <w:sz w:val="18"/>
          <w:lang w:val="nb-NO"/>
        </w:rPr>
      </w:pPr>
      <w:r w:rsidRPr="00EC1134">
        <w:rPr>
          <w:sz w:val="18"/>
          <w:lang w:val="nb-NO"/>
        </w:rPr>
        <w:t>Studenttall er basert på produserte studiepoeng i 2016. For både opptaksrammer og studenttall er det beregnet andeler for hhv. bachelor-, master- og profesjonsstudiene, som så er vektet med de priser som benyttes for studieplasser.</w:t>
      </w:r>
    </w:p>
    <w:p w:rsidR="00CF5F49" w:rsidRPr="00EC1134" w:rsidRDefault="002B02F9" w:rsidP="00F90F75">
      <w:pPr>
        <w:pStyle w:val="BodyText"/>
        <w:rPr>
          <w:lang w:val="nb-NO"/>
        </w:rPr>
      </w:pPr>
      <w:r>
        <w:rPr>
          <w:b/>
          <w:lang w:val="nb-NO"/>
        </w:rPr>
        <w:t>Foreløpig k</w:t>
      </w:r>
      <w:r w:rsidR="006F2C83" w:rsidRPr="00EC1134">
        <w:rPr>
          <w:b/>
          <w:lang w:val="nb-NO"/>
        </w:rPr>
        <w:t xml:space="preserve">onklusjon: </w:t>
      </w:r>
      <w:r w:rsidR="00F90F75" w:rsidRPr="00EC1134">
        <w:rPr>
          <w:lang w:val="nb-NO"/>
        </w:rPr>
        <w:t>Det foreslås at den nye modellen legger til grunn op</w:t>
      </w:r>
      <w:r w:rsidR="00FF08BC" w:rsidRPr="00EC1134">
        <w:rPr>
          <w:lang w:val="nb-NO"/>
        </w:rPr>
        <w:t>ptaksrammer for dimensjonering</w:t>
      </w:r>
      <w:r w:rsidR="00F90F75" w:rsidRPr="00EC1134">
        <w:rPr>
          <w:lang w:val="nb-NO"/>
        </w:rPr>
        <w:t xml:space="preserve"> av enhetene og fordeling av studieplassinntektene</w:t>
      </w:r>
      <w:r w:rsidR="00F21FB8" w:rsidRPr="00EC1134">
        <w:rPr>
          <w:lang w:val="nb-NO"/>
        </w:rPr>
        <w:t xml:space="preserve"> og kandidatmidlene</w:t>
      </w:r>
      <w:r w:rsidR="00F90F75" w:rsidRPr="00EC1134">
        <w:rPr>
          <w:lang w:val="nb-NO"/>
        </w:rPr>
        <w:t>.</w:t>
      </w:r>
    </w:p>
    <w:p w:rsidR="00C735D0" w:rsidRPr="00EC1134" w:rsidRDefault="00F21FB8" w:rsidP="00C735D0">
      <w:pPr>
        <w:pStyle w:val="BodyText"/>
        <w:rPr>
          <w:lang w:val="nb-NO"/>
        </w:rPr>
      </w:pPr>
      <w:r w:rsidRPr="00C5389C">
        <w:rPr>
          <w:lang w:val="nb-NO"/>
        </w:rPr>
        <w:t>For lektorprogrammet mottar fakultetet studieplassinntekter, men har ikke opptaksrammer (studentene er opptatt ved UV-fakultetet). Det foreslås at ISS, i kraft av å være fakultetets koordinator for lektorprogrammet, får 10 prosent av inntektene.</w:t>
      </w:r>
      <w:r w:rsidR="008702B9" w:rsidRPr="00C5389C">
        <w:rPr>
          <w:rStyle w:val="FootnoteReference"/>
          <w:lang w:val="nb-NO"/>
        </w:rPr>
        <w:footnoteReference w:id="9"/>
      </w:r>
      <w:r w:rsidRPr="00C5389C">
        <w:rPr>
          <w:lang w:val="nb-NO"/>
        </w:rPr>
        <w:t xml:space="preserve"> Resten av inntektene fordeles proporsjonalt mellom de enhetene som leverer mer enn 10 prosent av studiepoengene til studentene på programmet, i henhold til andelene av studiepoengene.</w:t>
      </w:r>
    </w:p>
    <w:p w:rsidR="00C735D0" w:rsidRPr="00EC1134" w:rsidRDefault="00C735D0" w:rsidP="00E154B8">
      <w:pPr>
        <w:pStyle w:val="Caption"/>
        <w:keepNext/>
        <w:keepLines/>
        <w:spacing w:line="240" w:lineRule="auto"/>
        <w:rPr>
          <w:lang w:val="nb-NO"/>
        </w:rPr>
      </w:pPr>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6</w:t>
      </w:r>
      <w:r w:rsidRPr="00EC1134">
        <w:rPr>
          <w:lang w:val="nb-NO"/>
        </w:rPr>
        <w:fldChar w:fldCharType="end"/>
      </w:r>
      <w:r w:rsidRPr="00EC1134">
        <w:rPr>
          <w:lang w:val="nb-NO"/>
        </w:rPr>
        <w:t>: Leverte studiepoeng til studenter på lektorprogrammet</w:t>
      </w:r>
      <w:r w:rsidR="008702B9" w:rsidRPr="00EC1134">
        <w:rPr>
          <w:lang w:val="nb-NO"/>
        </w:rPr>
        <w:t>, antall og prosent</w:t>
      </w:r>
    </w:p>
    <w:tbl>
      <w:tblPr>
        <w:tblW w:w="5000" w:type="pct"/>
        <w:tblCellMar>
          <w:left w:w="70" w:type="dxa"/>
          <w:right w:w="70" w:type="dxa"/>
        </w:tblCellMar>
        <w:tblLook w:val="04A0" w:firstRow="1" w:lastRow="0" w:firstColumn="1" w:lastColumn="0" w:noHBand="0" w:noVBand="1"/>
      </w:tblPr>
      <w:tblGrid>
        <w:gridCol w:w="788"/>
        <w:gridCol w:w="946"/>
        <w:gridCol w:w="946"/>
        <w:gridCol w:w="946"/>
        <w:gridCol w:w="946"/>
        <w:gridCol w:w="946"/>
        <w:gridCol w:w="1559"/>
        <w:gridCol w:w="1222"/>
      </w:tblGrid>
      <w:tr w:rsidR="00D86823" w:rsidRPr="00C5389C" w:rsidTr="006702DA">
        <w:trPr>
          <w:trHeight w:val="585"/>
        </w:trPr>
        <w:tc>
          <w:tcPr>
            <w:tcW w:w="475" w:type="pct"/>
            <w:tcBorders>
              <w:top w:val="single" w:sz="8" w:space="0" w:color="000000"/>
              <w:left w:val="nil"/>
              <w:bottom w:val="single" w:sz="8" w:space="0" w:color="000000"/>
              <w:right w:val="nil"/>
            </w:tcBorders>
            <w:shd w:val="clear" w:color="auto" w:fill="auto"/>
            <w:vAlign w:val="center"/>
            <w:hideMark/>
          </w:tcPr>
          <w:p w:rsidR="00D86823" w:rsidRPr="00C5389C" w:rsidRDefault="00D86823" w:rsidP="004A595A">
            <w:pP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Enhet</w:t>
            </w:r>
          </w:p>
        </w:tc>
        <w:tc>
          <w:tcPr>
            <w:tcW w:w="570" w:type="pct"/>
            <w:tcBorders>
              <w:top w:val="single" w:sz="8" w:space="0" w:color="000000"/>
              <w:left w:val="nil"/>
              <w:bottom w:val="single" w:sz="8" w:space="0" w:color="000000"/>
              <w:right w:val="nil"/>
            </w:tcBorders>
            <w:shd w:val="clear" w:color="auto" w:fill="auto"/>
            <w:vAlign w:val="center"/>
            <w:hideMark/>
          </w:tcPr>
          <w:p w:rsidR="00D86823" w:rsidRPr="00C5389C" w:rsidRDefault="00D86823" w:rsidP="004A595A">
            <w:pPr>
              <w:jc w:val="cente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2012</w:t>
            </w:r>
          </w:p>
        </w:tc>
        <w:tc>
          <w:tcPr>
            <w:tcW w:w="570" w:type="pct"/>
            <w:tcBorders>
              <w:top w:val="single" w:sz="8" w:space="0" w:color="000000"/>
              <w:left w:val="nil"/>
              <w:bottom w:val="single" w:sz="8" w:space="0" w:color="000000"/>
              <w:right w:val="nil"/>
            </w:tcBorders>
            <w:shd w:val="clear" w:color="auto" w:fill="auto"/>
            <w:vAlign w:val="center"/>
            <w:hideMark/>
          </w:tcPr>
          <w:p w:rsidR="00D86823" w:rsidRPr="00C5389C" w:rsidRDefault="00D86823" w:rsidP="004A595A">
            <w:pPr>
              <w:jc w:val="cente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2013</w:t>
            </w:r>
          </w:p>
        </w:tc>
        <w:tc>
          <w:tcPr>
            <w:tcW w:w="570" w:type="pct"/>
            <w:tcBorders>
              <w:top w:val="single" w:sz="8" w:space="0" w:color="000000"/>
              <w:left w:val="nil"/>
              <w:bottom w:val="single" w:sz="8" w:space="0" w:color="000000"/>
              <w:right w:val="nil"/>
            </w:tcBorders>
            <w:shd w:val="clear" w:color="auto" w:fill="auto"/>
            <w:vAlign w:val="center"/>
            <w:hideMark/>
          </w:tcPr>
          <w:p w:rsidR="00D86823" w:rsidRPr="00C5389C" w:rsidRDefault="00D86823" w:rsidP="004A595A">
            <w:pPr>
              <w:jc w:val="cente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2014</w:t>
            </w:r>
          </w:p>
        </w:tc>
        <w:tc>
          <w:tcPr>
            <w:tcW w:w="570" w:type="pct"/>
            <w:tcBorders>
              <w:top w:val="single" w:sz="8" w:space="0" w:color="000000"/>
              <w:left w:val="nil"/>
              <w:bottom w:val="single" w:sz="8" w:space="0" w:color="000000"/>
              <w:right w:val="nil"/>
            </w:tcBorders>
            <w:shd w:val="clear" w:color="auto" w:fill="auto"/>
            <w:vAlign w:val="center"/>
            <w:hideMark/>
          </w:tcPr>
          <w:p w:rsidR="00D86823" w:rsidRPr="00C5389C" w:rsidRDefault="00D86823" w:rsidP="004A595A">
            <w:pPr>
              <w:jc w:val="cente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2015</w:t>
            </w:r>
          </w:p>
        </w:tc>
        <w:tc>
          <w:tcPr>
            <w:tcW w:w="570" w:type="pct"/>
            <w:tcBorders>
              <w:top w:val="single" w:sz="8" w:space="0" w:color="000000"/>
              <w:left w:val="nil"/>
              <w:bottom w:val="single" w:sz="8" w:space="0" w:color="000000"/>
              <w:right w:val="nil"/>
            </w:tcBorders>
            <w:shd w:val="clear" w:color="auto" w:fill="auto"/>
            <w:vAlign w:val="center"/>
            <w:hideMark/>
          </w:tcPr>
          <w:p w:rsidR="00D86823" w:rsidRPr="00C5389C" w:rsidRDefault="00D86823" w:rsidP="004A595A">
            <w:pPr>
              <w:jc w:val="cente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2016</w:t>
            </w:r>
          </w:p>
        </w:tc>
        <w:tc>
          <w:tcPr>
            <w:tcW w:w="939" w:type="pct"/>
            <w:tcBorders>
              <w:top w:val="single" w:sz="8" w:space="0" w:color="000000"/>
              <w:left w:val="nil"/>
              <w:bottom w:val="single" w:sz="8" w:space="0" w:color="000000"/>
              <w:right w:val="nil"/>
            </w:tcBorders>
            <w:shd w:val="clear" w:color="auto" w:fill="auto"/>
            <w:vAlign w:val="center"/>
            <w:hideMark/>
          </w:tcPr>
          <w:p w:rsidR="00D86823" w:rsidRPr="00C5389C" w:rsidRDefault="00D86823" w:rsidP="004A595A">
            <w:pPr>
              <w:jc w:val="cente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Gjennomsnitt</w:t>
            </w:r>
          </w:p>
        </w:tc>
        <w:tc>
          <w:tcPr>
            <w:tcW w:w="736" w:type="pct"/>
            <w:tcBorders>
              <w:top w:val="single" w:sz="8" w:space="0" w:color="000000"/>
              <w:left w:val="nil"/>
              <w:bottom w:val="single" w:sz="8" w:space="0" w:color="000000"/>
              <w:right w:val="nil"/>
            </w:tcBorders>
            <w:shd w:val="clear" w:color="auto" w:fill="auto"/>
            <w:vAlign w:val="center"/>
            <w:hideMark/>
          </w:tcPr>
          <w:p w:rsidR="00D86823" w:rsidRPr="00C5389C" w:rsidRDefault="00D86823" w:rsidP="004A595A">
            <w:pPr>
              <w:jc w:val="cente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Andel</w:t>
            </w:r>
          </w:p>
        </w:tc>
      </w:tr>
      <w:tr w:rsidR="00D86823" w:rsidRPr="00C5389C" w:rsidTr="006702DA">
        <w:trPr>
          <w:trHeight w:val="345"/>
        </w:trPr>
        <w:tc>
          <w:tcPr>
            <w:tcW w:w="475" w:type="pct"/>
            <w:tcBorders>
              <w:top w:val="nil"/>
              <w:left w:val="nil"/>
              <w:bottom w:val="nil"/>
              <w:right w:val="nil"/>
            </w:tcBorders>
            <w:shd w:val="clear" w:color="000000" w:fill="CCCCCC"/>
            <w:vAlign w:val="center"/>
            <w:hideMark/>
          </w:tcPr>
          <w:p w:rsidR="00D86823" w:rsidRPr="00C5389C" w:rsidRDefault="00D86823" w:rsidP="004A595A">
            <w:pP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ISS</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1 940</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1 930</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1 640</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2 190</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2 050</w:t>
            </w:r>
          </w:p>
        </w:tc>
        <w:tc>
          <w:tcPr>
            <w:tcW w:w="939"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1 950</w:t>
            </w:r>
          </w:p>
        </w:tc>
        <w:tc>
          <w:tcPr>
            <w:tcW w:w="736"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49 %</w:t>
            </w:r>
          </w:p>
        </w:tc>
      </w:tr>
      <w:tr w:rsidR="00D86823" w:rsidRPr="00C5389C" w:rsidTr="006702DA">
        <w:trPr>
          <w:trHeight w:val="345"/>
        </w:trPr>
        <w:tc>
          <w:tcPr>
            <w:tcW w:w="475" w:type="pct"/>
            <w:tcBorders>
              <w:top w:val="nil"/>
              <w:left w:val="nil"/>
              <w:bottom w:val="nil"/>
              <w:right w:val="nil"/>
            </w:tcBorders>
            <w:shd w:val="clear" w:color="auto" w:fill="auto"/>
            <w:vAlign w:val="center"/>
            <w:hideMark/>
          </w:tcPr>
          <w:p w:rsidR="00D86823" w:rsidRPr="00C5389C" w:rsidRDefault="00D86823" w:rsidP="004A595A">
            <w:pP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ISV</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940</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1 120</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1 760</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1 380</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1 680</w:t>
            </w:r>
          </w:p>
        </w:tc>
        <w:tc>
          <w:tcPr>
            <w:tcW w:w="939"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1376</w:t>
            </w:r>
          </w:p>
        </w:tc>
        <w:tc>
          <w:tcPr>
            <w:tcW w:w="736" w:type="pct"/>
            <w:tcBorders>
              <w:top w:val="nil"/>
              <w:left w:val="nil"/>
              <w:bottom w:val="nil"/>
              <w:right w:val="nil"/>
            </w:tcBorders>
            <w:shd w:val="clear" w:color="auto" w:fill="auto"/>
            <w:vAlign w:val="center"/>
            <w:hideMark/>
          </w:tcPr>
          <w:p w:rsidR="00D86823" w:rsidRPr="00C5389C" w:rsidRDefault="00D86823" w:rsidP="00977A0E">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3</w:t>
            </w:r>
            <w:r w:rsidR="00977A0E">
              <w:rPr>
                <w:rFonts w:eastAsia="Times New Roman" w:cs="Times New Roman"/>
                <w:color w:val="000000"/>
                <w:sz w:val="22"/>
                <w:szCs w:val="22"/>
                <w:lang w:eastAsia="nb-NO"/>
              </w:rPr>
              <w:t>4</w:t>
            </w:r>
            <w:r w:rsidRPr="00C5389C">
              <w:rPr>
                <w:rFonts w:eastAsia="Times New Roman" w:cs="Times New Roman"/>
                <w:color w:val="000000"/>
                <w:sz w:val="22"/>
                <w:szCs w:val="22"/>
                <w:lang w:eastAsia="nb-NO"/>
              </w:rPr>
              <w:t xml:space="preserve"> %</w:t>
            </w:r>
          </w:p>
        </w:tc>
      </w:tr>
      <w:tr w:rsidR="00D86823" w:rsidRPr="00C5389C" w:rsidTr="006702DA">
        <w:trPr>
          <w:trHeight w:val="345"/>
        </w:trPr>
        <w:tc>
          <w:tcPr>
            <w:tcW w:w="475" w:type="pct"/>
            <w:tcBorders>
              <w:top w:val="nil"/>
              <w:left w:val="nil"/>
              <w:bottom w:val="nil"/>
              <w:right w:val="nil"/>
            </w:tcBorders>
            <w:shd w:val="clear" w:color="000000" w:fill="CCCCCC"/>
            <w:vAlign w:val="center"/>
            <w:hideMark/>
          </w:tcPr>
          <w:p w:rsidR="00D86823" w:rsidRPr="00C5389C" w:rsidRDefault="00D86823" w:rsidP="004A595A">
            <w:pP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PSI</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20</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10</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30</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30</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110</w:t>
            </w:r>
          </w:p>
        </w:tc>
        <w:tc>
          <w:tcPr>
            <w:tcW w:w="939"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40</w:t>
            </w:r>
          </w:p>
        </w:tc>
        <w:tc>
          <w:tcPr>
            <w:tcW w:w="736"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1 %</w:t>
            </w:r>
          </w:p>
        </w:tc>
      </w:tr>
      <w:tr w:rsidR="00D86823" w:rsidRPr="00C5389C" w:rsidTr="006702DA">
        <w:trPr>
          <w:trHeight w:val="345"/>
        </w:trPr>
        <w:tc>
          <w:tcPr>
            <w:tcW w:w="475" w:type="pct"/>
            <w:tcBorders>
              <w:top w:val="nil"/>
              <w:left w:val="nil"/>
              <w:bottom w:val="nil"/>
              <w:right w:val="nil"/>
            </w:tcBorders>
            <w:shd w:val="clear" w:color="auto" w:fill="auto"/>
            <w:vAlign w:val="center"/>
            <w:hideMark/>
          </w:tcPr>
          <w:p w:rsidR="00D86823" w:rsidRPr="00C5389C" w:rsidRDefault="00D86823" w:rsidP="004A595A">
            <w:pP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SAI</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670</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670</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500</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590</w:t>
            </w:r>
          </w:p>
        </w:tc>
        <w:tc>
          <w:tcPr>
            <w:tcW w:w="570"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680</w:t>
            </w:r>
          </w:p>
        </w:tc>
        <w:tc>
          <w:tcPr>
            <w:tcW w:w="939"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622</w:t>
            </w:r>
          </w:p>
        </w:tc>
        <w:tc>
          <w:tcPr>
            <w:tcW w:w="736" w:type="pct"/>
            <w:tcBorders>
              <w:top w:val="nil"/>
              <w:left w:val="nil"/>
              <w:bottom w:val="nil"/>
              <w:right w:val="nil"/>
            </w:tcBorders>
            <w:shd w:val="clear" w:color="auto" w:fill="auto"/>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16 %</w:t>
            </w:r>
          </w:p>
        </w:tc>
      </w:tr>
      <w:tr w:rsidR="00D86823" w:rsidRPr="00C5389C" w:rsidTr="006702DA">
        <w:trPr>
          <w:trHeight w:val="345"/>
        </w:trPr>
        <w:tc>
          <w:tcPr>
            <w:tcW w:w="475" w:type="pct"/>
            <w:tcBorders>
              <w:top w:val="nil"/>
              <w:left w:val="nil"/>
              <w:bottom w:val="nil"/>
              <w:right w:val="nil"/>
            </w:tcBorders>
            <w:shd w:val="clear" w:color="000000" w:fill="CCCCCC"/>
            <w:vAlign w:val="center"/>
            <w:hideMark/>
          </w:tcPr>
          <w:p w:rsidR="00D86823" w:rsidRPr="00C5389C" w:rsidRDefault="00D86823" w:rsidP="004A595A">
            <w:pP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TIK</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w:t>
            </w:r>
          </w:p>
        </w:tc>
        <w:tc>
          <w:tcPr>
            <w:tcW w:w="570"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w:t>
            </w:r>
          </w:p>
        </w:tc>
        <w:tc>
          <w:tcPr>
            <w:tcW w:w="939"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w:t>
            </w:r>
          </w:p>
        </w:tc>
        <w:tc>
          <w:tcPr>
            <w:tcW w:w="736"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0 %</w:t>
            </w:r>
          </w:p>
        </w:tc>
      </w:tr>
      <w:tr w:rsidR="00D86823" w:rsidRPr="00C5389C" w:rsidTr="006702DA">
        <w:trPr>
          <w:trHeight w:val="360"/>
        </w:trPr>
        <w:tc>
          <w:tcPr>
            <w:tcW w:w="475" w:type="pct"/>
            <w:tcBorders>
              <w:top w:val="nil"/>
              <w:left w:val="nil"/>
              <w:bottom w:val="single" w:sz="8" w:space="0" w:color="000000"/>
              <w:right w:val="nil"/>
            </w:tcBorders>
            <w:shd w:val="clear" w:color="auto" w:fill="auto"/>
            <w:vAlign w:val="center"/>
            <w:hideMark/>
          </w:tcPr>
          <w:p w:rsidR="00D86823" w:rsidRPr="00C5389C" w:rsidRDefault="00D86823" w:rsidP="004A595A">
            <w:pP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ØI</w:t>
            </w:r>
          </w:p>
        </w:tc>
        <w:tc>
          <w:tcPr>
            <w:tcW w:w="570" w:type="pct"/>
            <w:tcBorders>
              <w:top w:val="nil"/>
              <w:left w:val="nil"/>
              <w:bottom w:val="single" w:sz="8" w:space="0" w:color="000000"/>
              <w:right w:val="nil"/>
            </w:tcBorders>
            <w:shd w:val="clear" w:color="auto" w:fill="auto"/>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20</w:t>
            </w:r>
          </w:p>
        </w:tc>
        <w:tc>
          <w:tcPr>
            <w:tcW w:w="570" w:type="pct"/>
            <w:tcBorders>
              <w:top w:val="nil"/>
              <w:left w:val="nil"/>
              <w:bottom w:val="single" w:sz="8" w:space="0" w:color="000000"/>
              <w:right w:val="nil"/>
            </w:tcBorders>
            <w:shd w:val="clear" w:color="auto" w:fill="auto"/>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20</w:t>
            </w:r>
          </w:p>
        </w:tc>
        <w:tc>
          <w:tcPr>
            <w:tcW w:w="570" w:type="pct"/>
            <w:tcBorders>
              <w:top w:val="nil"/>
              <w:left w:val="nil"/>
              <w:bottom w:val="single" w:sz="8" w:space="0" w:color="000000"/>
              <w:right w:val="nil"/>
            </w:tcBorders>
            <w:shd w:val="clear" w:color="auto" w:fill="auto"/>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20</w:t>
            </w:r>
          </w:p>
        </w:tc>
        <w:tc>
          <w:tcPr>
            <w:tcW w:w="570" w:type="pct"/>
            <w:tcBorders>
              <w:top w:val="nil"/>
              <w:left w:val="nil"/>
              <w:bottom w:val="single" w:sz="8" w:space="0" w:color="000000"/>
              <w:right w:val="nil"/>
            </w:tcBorders>
            <w:shd w:val="clear" w:color="auto" w:fill="auto"/>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10</w:t>
            </w:r>
          </w:p>
        </w:tc>
        <w:tc>
          <w:tcPr>
            <w:tcW w:w="570" w:type="pct"/>
            <w:tcBorders>
              <w:top w:val="nil"/>
              <w:left w:val="nil"/>
              <w:bottom w:val="single" w:sz="8" w:space="0" w:color="000000"/>
              <w:right w:val="nil"/>
            </w:tcBorders>
            <w:shd w:val="clear" w:color="auto" w:fill="auto"/>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w:t>
            </w:r>
          </w:p>
        </w:tc>
        <w:tc>
          <w:tcPr>
            <w:tcW w:w="939" w:type="pct"/>
            <w:tcBorders>
              <w:top w:val="nil"/>
              <w:left w:val="nil"/>
              <w:bottom w:val="single" w:sz="8" w:space="0" w:color="000000"/>
              <w:right w:val="nil"/>
            </w:tcBorders>
            <w:shd w:val="clear" w:color="auto" w:fill="auto"/>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14</w:t>
            </w:r>
          </w:p>
        </w:tc>
        <w:tc>
          <w:tcPr>
            <w:tcW w:w="736" w:type="pct"/>
            <w:tcBorders>
              <w:top w:val="nil"/>
              <w:left w:val="nil"/>
              <w:bottom w:val="single" w:sz="8" w:space="0" w:color="000000"/>
              <w:right w:val="nil"/>
            </w:tcBorders>
            <w:shd w:val="clear" w:color="auto" w:fill="auto"/>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0 %</w:t>
            </w:r>
          </w:p>
        </w:tc>
      </w:tr>
      <w:tr w:rsidR="00D86823" w:rsidRPr="00C5389C" w:rsidTr="006702DA">
        <w:trPr>
          <w:trHeight w:val="345"/>
        </w:trPr>
        <w:tc>
          <w:tcPr>
            <w:tcW w:w="475" w:type="pct"/>
            <w:tcBorders>
              <w:top w:val="nil"/>
              <w:left w:val="nil"/>
              <w:bottom w:val="nil"/>
              <w:right w:val="nil"/>
            </w:tcBorders>
            <w:shd w:val="clear" w:color="000000" w:fill="CCCCCC"/>
            <w:vAlign w:val="center"/>
            <w:hideMark/>
          </w:tcPr>
          <w:p w:rsidR="00D86823" w:rsidRPr="00C5389C" w:rsidRDefault="00D86823" w:rsidP="004A595A">
            <w:pPr>
              <w:rPr>
                <w:rFonts w:eastAsia="Times New Roman" w:cs="Times New Roman"/>
                <w:b/>
                <w:bCs/>
                <w:color w:val="000000"/>
                <w:sz w:val="22"/>
                <w:szCs w:val="22"/>
                <w:lang w:eastAsia="nb-NO"/>
              </w:rPr>
            </w:pPr>
            <w:r w:rsidRPr="00C5389C">
              <w:rPr>
                <w:rFonts w:eastAsia="Times New Roman" w:cs="Times New Roman"/>
                <w:b/>
                <w:bCs/>
                <w:color w:val="000000"/>
                <w:sz w:val="22"/>
                <w:szCs w:val="22"/>
                <w:lang w:eastAsia="nb-NO"/>
              </w:rPr>
              <w:t>Sum</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3 550</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3 720</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3 900</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4 160</w:t>
            </w:r>
          </w:p>
        </w:tc>
        <w:tc>
          <w:tcPr>
            <w:tcW w:w="570"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4 410</w:t>
            </w:r>
          </w:p>
        </w:tc>
        <w:tc>
          <w:tcPr>
            <w:tcW w:w="939" w:type="pct"/>
            <w:tcBorders>
              <w:top w:val="nil"/>
              <w:left w:val="nil"/>
              <w:bottom w:val="nil"/>
              <w:right w:val="nil"/>
            </w:tcBorders>
            <w:shd w:val="clear" w:color="000000" w:fill="CCCCCC"/>
            <w:vAlign w:val="center"/>
            <w:hideMark/>
          </w:tcPr>
          <w:p w:rsidR="00D86823" w:rsidRPr="00C5389C" w:rsidRDefault="00977A0E" w:rsidP="004A595A">
            <w:pPr>
              <w:jc w:val="center"/>
              <w:rPr>
                <w:rFonts w:eastAsia="Times New Roman" w:cs="Times New Roman"/>
                <w:color w:val="000000"/>
                <w:sz w:val="22"/>
                <w:szCs w:val="22"/>
                <w:lang w:eastAsia="nb-NO"/>
              </w:rPr>
            </w:pPr>
            <w:r>
              <w:rPr>
                <w:rFonts w:eastAsia="Times New Roman" w:cs="Times New Roman"/>
                <w:color w:val="000000"/>
                <w:sz w:val="22"/>
                <w:szCs w:val="22"/>
                <w:lang w:eastAsia="nb-NO"/>
              </w:rPr>
              <w:t>4 002</w:t>
            </w:r>
          </w:p>
        </w:tc>
        <w:tc>
          <w:tcPr>
            <w:tcW w:w="736" w:type="pct"/>
            <w:tcBorders>
              <w:top w:val="nil"/>
              <w:left w:val="nil"/>
              <w:bottom w:val="nil"/>
              <w:right w:val="nil"/>
            </w:tcBorders>
            <w:shd w:val="clear" w:color="000000" w:fill="CCCCCC"/>
            <w:vAlign w:val="center"/>
            <w:hideMark/>
          </w:tcPr>
          <w:p w:rsidR="00D86823" w:rsidRPr="00C5389C" w:rsidRDefault="00D86823" w:rsidP="004A595A">
            <w:pPr>
              <w:jc w:val="center"/>
              <w:rPr>
                <w:rFonts w:eastAsia="Times New Roman" w:cs="Times New Roman"/>
                <w:color w:val="000000"/>
                <w:sz w:val="22"/>
                <w:szCs w:val="22"/>
                <w:lang w:eastAsia="nb-NO"/>
              </w:rPr>
            </w:pPr>
            <w:r w:rsidRPr="00C5389C">
              <w:rPr>
                <w:rFonts w:eastAsia="Times New Roman" w:cs="Times New Roman"/>
                <w:color w:val="000000"/>
                <w:sz w:val="22"/>
                <w:szCs w:val="22"/>
                <w:lang w:eastAsia="nb-NO"/>
              </w:rPr>
              <w:t>100 %</w:t>
            </w:r>
          </w:p>
        </w:tc>
      </w:tr>
    </w:tbl>
    <w:p w:rsidR="006702DA" w:rsidRDefault="006702DA" w:rsidP="006702DA">
      <w:pPr>
        <w:pStyle w:val="BodyText"/>
        <w:rPr>
          <w:b/>
          <w:lang w:val="nb-NO"/>
        </w:rPr>
      </w:pPr>
    </w:p>
    <w:p w:rsidR="009A5477" w:rsidRPr="00EC1134" w:rsidRDefault="002B02F9" w:rsidP="009A5477">
      <w:pPr>
        <w:pStyle w:val="BodyText"/>
        <w:rPr>
          <w:lang w:val="nb-NO"/>
        </w:rPr>
      </w:pPr>
      <w:r>
        <w:rPr>
          <w:b/>
          <w:lang w:val="nb-NO"/>
        </w:rPr>
        <w:t>Foreløpig k</w:t>
      </w:r>
      <w:r w:rsidR="006702DA" w:rsidRPr="00EC1134">
        <w:rPr>
          <w:b/>
          <w:lang w:val="nb-NO"/>
        </w:rPr>
        <w:t xml:space="preserve">onklusjon: </w:t>
      </w:r>
      <w:r w:rsidR="009A5477">
        <w:rPr>
          <w:lang w:val="nb-NO"/>
        </w:rPr>
        <w:t xml:space="preserve">I </w:t>
      </w:r>
      <w:r w:rsidR="006702DA" w:rsidRPr="00EC1134">
        <w:rPr>
          <w:lang w:val="nb-NO"/>
        </w:rPr>
        <w:t>den nye m</w:t>
      </w:r>
      <w:r w:rsidR="009A5477">
        <w:rPr>
          <w:lang w:val="nb-NO"/>
        </w:rPr>
        <w:t xml:space="preserve">odellen </w:t>
      </w:r>
      <w:r w:rsidR="009A5477" w:rsidRPr="00C5389C">
        <w:rPr>
          <w:lang w:val="nb-NO"/>
        </w:rPr>
        <w:t xml:space="preserve">foreslås </w:t>
      </w:r>
      <w:r w:rsidR="009A5477">
        <w:rPr>
          <w:lang w:val="nb-NO"/>
        </w:rPr>
        <w:t xml:space="preserve">det </w:t>
      </w:r>
      <w:r w:rsidR="009A5477" w:rsidRPr="00C5389C">
        <w:rPr>
          <w:lang w:val="nb-NO"/>
        </w:rPr>
        <w:t>at ISS, i kraft av å være fakultetets koordinator for lektorprogrammet, får 10 prosent av inntektene.</w:t>
      </w:r>
      <w:r w:rsidR="009A5477" w:rsidRPr="00C5389C">
        <w:rPr>
          <w:rStyle w:val="FootnoteReference"/>
          <w:lang w:val="nb-NO"/>
        </w:rPr>
        <w:footnoteReference w:id="10"/>
      </w:r>
      <w:r w:rsidR="009A5477" w:rsidRPr="00C5389C">
        <w:rPr>
          <w:lang w:val="nb-NO"/>
        </w:rPr>
        <w:t xml:space="preserve"> Resten av inntektene fordeles proporsjonalt mellom de enhetene som leverer mer enn 10 prosent av studiepoengene til studentene på programmet, i henhold til andelene av studiepoengene.</w:t>
      </w:r>
    </w:p>
    <w:p w:rsidR="009A5477" w:rsidRDefault="009A5477" w:rsidP="006702DA">
      <w:pPr>
        <w:pStyle w:val="BodyText"/>
        <w:rPr>
          <w:lang w:val="nb-NO"/>
        </w:rPr>
      </w:pPr>
    </w:p>
    <w:p w:rsidR="00C735D0" w:rsidRPr="00EC1134" w:rsidRDefault="00C735D0" w:rsidP="00E154B8">
      <w:pPr>
        <w:pStyle w:val="BodyText"/>
        <w:keepNext/>
        <w:keepLines/>
        <w:spacing w:line="240" w:lineRule="auto"/>
        <w:rPr>
          <w:lang w:val="nb-NO"/>
        </w:rPr>
      </w:pPr>
    </w:p>
    <w:p w:rsidR="001B3D50" w:rsidRPr="00C5389C" w:rsidRDefault="00A3048D" w:rsidP="001B3D50">
      <w:pPr>
        <w:pStyle w:val="BodyText"/>
        <w:rPr>
          <w:lang w:val="nb-NO"/>
        </w:rPr>
      </w:pPr>
      <w:r w:rsidRPr="00C5389C">
        <w:rPr>
          <w:lang w:val="nb-NO"/>
        </w:rPr>
        <w:t xml:space="preserve">Også for </w:t>
      </w:r>
      <w:r w:rsidR="001B3D50" w:rsidRPr="00C5389C">
        <w:rPr>
          <w:lang w:val="nb-NO"/>
        </w:rPr>
        <w:t>enkelte tverrfaglige</w:t>
      </w:r>
      <w:r w:rsidRPr="00C5389C">
        <w:rPr>
          <w:lang w:val="nb-NO"/>
        </w:rPr>
        <w:t xml:space="preserve"> bachelorprogrammer er</w:t>
      </w:r>
      <w:r w:rsidR="001B3D50" w:rsidRPr="00C5389C">
        <w:rPr>
          <w:lang w:val="nb-NO"/>
        </w:rPr>
        <w:t xml:space="preserve"> bidraget fra andre enheter så stort, at det </w:t>
      </w:r>
      <w:r w:rsidRPr="00C5389C">
        <w:rPr>
          <w:lang w:val="nb-NO"/>
        </w:rPr>
        <w:t>kan virke urimelig at den enheten som eier programmet, skal få hele studieplassinntekten</w:t>
      </w:r>
      <w:r w:rsidR="001B3D50" w:rsidRPr="00C5389C">
        <w:rPr>
          <w:lang w:val="nb-NO"/>
        </w:rPr>
        <w:t>.</w:t>
      </w:r>
      <w:r w:rsidRPr="00C5389C">
        <w:rPr>
          <w:lang w:val="nb-NO"/>
        </w:rPr>
        <w:t xml:space="preserve"> Det samme gjelder enkelte disiplinprogrammer. </w:t>
      </w:r>
      <w:r w:rsidR="001B3D50" w:rsidRPr="00C5389C">
        <w:rPr>
          <w:lang w:val="nb-NO"/>
        </w:rPr>
        <w:t xml:space="preserve"> Det foreslås at dersom en annen enhet leverer 10 prosent eller mer av avlagte studiepoeng til studentene på </w:t>
      </w:r>
      <w:r w:rsidR="00A01C23" w:rsidRPr="00C5389C">
        <w:rPr>
          <w:lang w:val="nb-NO"/>
        </w:rPr>
        <w:t>et program</w:t>
      </w:r>
      <w:r w:rsidR="001B3D50" w:rsidRPr="00C5389C">
        <w:rPr>
          <w:lang w:val="nb-NO"/>
        </w:rPr>
        <w:t xml:space="preserve">, tilordnes </w:t>
      </w:r>
      <w:r w:rsidRPr="00C5389C">
        <w:rPr>
          <w:lang w:val="nb-NO"/>
        </w:rPr>
        <w:t xml:space="preserve">denne </w:t>
      </w:r>
      <w:r w:rsidR="001B3D50" w:rsidRPr="00C5389C">
        <w:rPr>
          <w:lang w:val="nb-NO"/>
        </w:rPr>
        <w:t>enheten en andel av opptaksrammen som tilsvarer andelen leverte studiepoeng, avrundet til nærmest</w:t>
      </w:r>
      <w:r w:rsidR="002B02F9">
        <w:rPr>
          <w:lang w:val="nb-NO"/>
        </w:rPr>
        <w:t>e</w:t>
      </w:r>
      <w:r w:rsidR="001B3D50" w:rsidRPr="00C5389C">
        <w:rPr>
          <w:lang w:val="nb-NO"/>
        </w:rPr>
        <w:t xml:space="preserve"> tall som ender på 0 eller 5. Andelen beregnes som et gjennomsnitt av avlagte studiepoeng over siste fem år</w:t>
      </w:r>
      <w:r w:rsidRPr="00C5389C">
        <w:rPr>
          <w:lang w:val="nb-NO"/>
        </w:rPr>
        <w:t xml:space="preserve"> ved fakultetet</w:t>
      </w:r>
      <w:r w:rsidR="001B3D50" w:rsidRPr="00C5389C">
        <w:rPr>
          <w:lang w:val="nb-NO"/>
        </w:rPr>
        <w:t xml:space="preserve"> (fellesemnet Ex fac inkluderes ikke i beregningen). </w:t>
      </w:r>
      <w:r w:rsidR="00A01C23" w:rsidRPr="00C5389C">
        <w:rPr>
          <w:lang w:val="nb-NO"/>
        </w:rPr>
        <w:fldChar w:fldCharType="begin"/>
      </w:r>
      <w:r w:rsidR="00A01C23" w:rsidRPr="00C5389C">
        <w:rPr>
          <w:lang w:val="nb-NO"/>
        </w:rPr>
        <w:instrText xml:space="preserve"> REF _Ref511562418 \h </w:instrText>
      </w:r>
      <w:r w:rsidR="00A01C23" w:rsidRPr="00C5389C">
        <w:rPr>
          <w:lang w:val="nb-NO"/>
        </w:rPr>
      </w:r>
      <w:r w:rsidR="00A01C23" w:rsidRPr="00C5389C">
        <w:rPr>
          <w:lang w:val="nb-NO"/>
        </w:rPr>
        <w:fldChar w:fldCharType="separate"/>
      </w:r>
      <w:r w:rsidR="00B759DD" w:rsidRPr="00EC1134">
        <w:rPr>
          <w:lang w:val="nb-NO"/>
        </w:rPr>
        <w:t xml:space="preserve">Tabell </w:t>
      </w:r>
      <w:r w:rsidR="00B759DD">
        <w:rPr>
          <w:noProof/>
          <w:lang w:val="nb-NO"/>
        </w:rPr>
        <w:t>7</w:t>
      </w:r>
      <w:r w:rsidR="00A01C23" w:rsidRPr="00C5389C">
        <w:rPr>
          <w:lang w:val="nb-NO"/>
        </w:rPr>
        <w:fldChar w:fldCharType="end"/>
      </w:r>
      <w:r w:rsidR="00A01C23" w:rsidRPr="00C5389C">
        <w:rPr>
          <w:lang w:val="nb-NO"/>
        </w:rPr>
        <w:t xml:space="preserve"> </w:t>
      </w:r>
      <w:r w:rsidR="007557C4" w:rsidRPr="00C5389C">
        <w:rPr>
          <w:lang w:val="nb-NO"/>
        </w:rPr>
        <w:t>viser beregnede bidrag for aktuelle programmer</w:t>
      </w:r>
      <w:r w:rsidRPr="00C5389C">
        <w:rPr>
          <w:lang w:val="nb-NO"/>
        </w:rPr>
        <w:t>.</w:t>
      </w:r>
    </w:p>
    <w:p w:rsidR="001B3D50" w:rsidRPr="00EC1134" w:rsidRDefault="001B3D50" w:rsidP="001B3D50">
      <w:pPr>
        <w:pStyle w:val="Caption"/>
        <w:keepNext/>
        <w:keepLines/>
        <w:spacing w:line="240" w:lineRule="auto"/>
        <w:rPr>
          <w:lang w:val="nb-NO"/>
        </w:rPr>
      </w:pPr>
      <w:bookmarkStart w:id="6" w:name="_Ref511562418"/>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7</w:t>
      </w:r>
      <w:r w:rsidRPr="00EC1134">
        <w:rPr>
          <w:lang w:val="nb-NO"/>
        </w:rPr>
        <w:fldChar w:fldCharType="end"/>
      </w:r>
      <w:bookmarkEnd w:id="6"/>
      <w:r w:rsidRPr="00EC1134">
        <w:rPr>
          <w:lang w:val="nb-NO"/>
        </w:rPr>
        <w:t>: Andel opptaksramme</w:t>
      </w:r>
      <w:r w:rsidR="00A3048D" w:rsidRPr="00EC1134">
        <w:rPr>
          <w:lang w:val="nb-NO"/>
        </w:rPr>
        <w:t xml:space="preserve"> etter</w:t>
      </w:r>
      <w:r w:rsidRPr="00EC1134">
        <w:rPr>
          <w:lang w:val="nb-NO"/>
        </w:rPr>
        <w:t xml:space="preserve"> </w:t>
      </w:r>
      <w:r w:rsidR="00A3048D" w:rsidRPr="00EC1134">
        <w:rPr>
          <w:lang w:val="nb-NO"/>
        </w:rPr>
        <w:t>program</w:t>
      </w:r>
      <w:r w:rsidRPr="00EC1134">
        <w:rPr>
          <w:lang w:val="nb-NO"/>
        </w:rPr>
        <w:t>, prosent</w:t>
      </w:r>
    </w:p>
    <w:tbl>
      <w:tblPr>
        <w:tblW w:w="5002" w:type="pct"/>
        <w:tblLayout w:type="fixed"/>
        <w:tblCellMar>
          <w:left w:w="70" w:type="dxa"/>
          <w:right w:w="70" w:type="dxa"/>
        </w:tblCellMar>
        <w:tblLook w:val="04A0" w:firstRow="1" w:lastRow="0" w:firstColumn="1" w:lastColumn="0" w:noHBand="0" w:noVBand="1"/>
      </w:tblPr>
      <w:tblGrid>
        <w:gridCol w:w="3826"/>
        <w:gridCol w:w="746"/>
        <w:gridCol w:w="746"/>
        <w:gridCol w:w="746"/>
        <w:gridCol w:w="746"/>
        <w:gridCol w:w="746"/>
        <w:gridCol w:w="746"/>
      </w:tblGrid>
      <w:tr w:rsidR="001B3D50" w:rsidRPr="004A595A" w:rsidTr="0041468E">
        <w:trPr>
          <w:trHeight w:val="315"/>
        </w:trPr>
        <w:tc>
          <w:tcPr>
            <w:tcW w:w="2304" w:type="pct"/>
            <w:tcBorders>
              <w:top w:val="single" w:sz="8" w:space="0" w:color="000000"/>
              <w:left w:val="nil"/>
              <w:bottom w:val="single" w:sz="8" w:space="0" w:color="000000"/>
              <w:right w:val="nil"/>
            </w:tcBorders>
            <w:shd w:val="clear" w:color="auto" w:fill="auto"/>
            <w:vAlign w:val="center"/>
            <w:hideMark/>
          </w:tcPr>
          <w:p w:rsidR="001B3D50" w:rsidRPr="004A595A" w:rsidRDefault="001B3D50" w:rsidP="00A612A0">
            <w:pPr>
              <w:keepNext/>
              <w:keepLines/>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Enhet</w:t>
            </w:r>
          </w:p>
        </w:tc>
        <w:tc>
          <w:tcPr>
            <w:tcW w:w="449" w:type="pct"/>
            <w:tcBorders>
              <w:top w:val="single" w:sz="8" w:space="0" w:color="000000"/>
              <w:left w:val="nil"/>
              <w:bottom w:val="single" w:sz="8" w:space="0" w:color="000000"/>
              <w:right w:val="nil"/>
            </w:tcBorders>
            <w:shd w:val="clear" w:color="auto" w:fill="auto"/>
            <w:vAlign w:val="center"/>
            <w:hideMark/>
          </w:tcPr>
          <w:p w:rsidR="001B3D50" w:rsidRPr="004A595A" w:rsidRDefault="001B3D50" w:rsidP="00A612A0">
            <w:pPr>
              <w:keepNext/>
              <w:keepLines/>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ISV</w:t>
            </w:r>
          </w:p>
        </w:tc>
        <w:tc>
          <w:tcPr>
            <w:tcW w:w="449" w:type="pct"/>
            <w:tcBorders>
              <w:top w:val="single" w:sz="8" w:space="0" w:color="000000"/>
              <w:left w:val="nil"/>
              <w:bottom w:val="single" w:sz="8" w:space="0" w:color="000000"/>
              <w:right w:val="nil"/>
            </w:tcBorders>
            <w:shd w:val="clear" w:color="auto" w:fill="auto"/>
            <w:vAlign w:val="center"/>
            <w:hideMark/>
          </w:tcPr>
          <w:p w:rsidR="001B3D50" w:rsidRPr="004A595A" w:rsidRDefault="001B3D50" w:rsidP="00A612A0">
            <w:pPr>
              <w:keepNext/>
              <w:keepLines/>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ISS</w:t>
            </w:r>
          </w:p>
        </w:tc>
        <w:tc>
          <w:tcPr>
            <w:tcW w:w="449" w:type="pct"/>
            <w:tcBorders>
              <w:top w:val="single" w:sz="8" w:space="0" w:color="000000"/>
              <w:left w:val="nil"/>
              <w:bottom w:val="single" w:sz="8" w:space="0" w:color="000000"/>
              <w:right w:val="nil"/>
            </w:tcBorders>
            <w:shd w:val="clear" w:color="auto" w:fill="auto"/>
            <w:vAlign w:val="center"/>
            <w:hideMark/>
          </w:tcPr>
          <w:p w:rsidR="001B3D50" w:rsidRPr="004A595A" w:rsidRDefault="001B3D50" w:rsidP="00A612A0">
            <w:pPr>
              <w:keepNext/>
              <w:keepLines/>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PSI</w:t>
            </w:r>
          </w:p>
        </w:tc>
        <w:tc>
          <w:tcPr>
            <w:tcW w:w="449" w:type="pct"/>
            <w:tcBorders>
              <w:top w:val="single" w:sz="8" w:space="0" w:color="000000"/>
              <w:left w:val="nil"/>
              <w:bottom w:val="single" w:sz="8" w:space="0" w:color="000000"/>
              <w:right w:val="nil"/>
            </w:tcBorders>
            <w:shd w:val="clear" w:color="auto" w:fill="auto"/>
            <w:vAlign w:val="center"/>
            <w:hideMark/>
          </w:tcPr>
          <w:p w:rsidR="001B3D50" w:rsidRPr="004A595A" w:rsidRDefault="001B3D50" w:rsidP="00A612A0">
            <w:pPr>
              <w:keepNext/>
              <w:keepLines/>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SAI</w:t>
            </w:r>
          </w:p>
        </w:tc>
        <w:tc>
          <w:tcPr>
            <w:tcW w:w="449" w:type="pct"/>
            <w:tcBorders>
              <w:top w:val="single" w:sz="8" w:space="0" w:color="000000"/>
              <w:left w:val="nil"/>
              <w:bottom w:val="single" w:sz="8" w:space="0" w:color="000000"/>
              <w:right w:val="nil"/>
            </w:tcBorders>
            <w:shd w:val="clear" w:color="auto" w:fill="auto"/>
            <w:vAlign w:val="center"/>
            <w:hideMark/>
          </w:tcPr>
          <w:p w:rsidR="001B3D50" w:rsidRPr="004A595A" w:rsidRDefault="001B3D50" w:rsidP="00A612A0">
            <w:pPr>
              <w:keepNext/>
              <w:keepLines/>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TIK</w:t>
            </w:r>
          </w:p>
        </w:tc>
        <w:tc>
          <w:tcPr>
            <w:tcW w:w="449" w:type="pct"/>
            <w:tcBorders>
              <w:top w:val="single" w:sz="8" w:space="0" w:color="000000"/>
              <w:left w:val="nil"/>
              <w:bottom w:val="single" w:sz="8" w:space="0" w:color="000000"/>
              <w:right w:val="nil"/>
            </w:tcBorders>
            <w:shd w:val="clear" w:color="auto" w:fill="auto"/>
            <w:vAlign w:val="center"/>
            <w:hideMark/>
          </w:tcPr>
          <w:p w:rsidR="001B3D50" w:rsidRPr="004A595A" w:rsidRDefault="001B3D50" w:rsidP="00A612A0">
            <w:pPr>
              <w:keepNext/>
              <w:keepLines/>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ØI</w:t>
            </w:r>
          </w:p>
        </w:tc>
      </w:tr>
      <w:tr w:rsidR="001B3D50" w:rsidRPr="004A595A" w:rsidTr="0041468E">
        <w:trPr>
          <w:trHeight w:val="345"/>
        </w:trPr>
        <w:tc>
          <w:tcPr>
            <w:tcW w:w="2304" w:type="pct"/>
            <w:tcBorders>
              <w:top w:val="nil"/>
              <w:left w:val="nil"/>
              <w:bottom w:val="nil"/>
              <w:right w:val="nil"/>
            </w:tcBorders>
            <w:shd w:val="clear" w:color="auto" w:fill="auto"/>
            <w:vAlign w:val="center"/>
            <w:hideMark/>
          </w:tcPr>
          <w:p w:rsidR="001B3D50" w:rsidRPr="004A595A" w:rsidRDefault="001B3D50" w:rsidP="00A612A0">
            <w:pPr>
              <w:keepNext/>
              <w:keepLines/>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Internasjonale studier</w:t>
            </w: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80</w:t>
            </w: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20</w:t>
            </w:r>
          </w:p>
        </w:tc>
      </w:tr>
      <w:tr w:rsidR="001B3D50" w:rsidRPr="004A595A" w:rsidTr="0041468E">
        <w:trPr>
          <w:trHeight w:val="345"/>
        </w:trPr>
        <w:tc>
          <w:tcPr>
            <w:tcW w:w="2304" w:type="pct"/>
            <w:tcBorders>
              <w:top w:val="nil"/>
              <w:left w:val="nil"/>
              <w:bottom w:val="nil"/>
              <w:right w:val="nil"/>
            </w:tcBorders>
            <w:shd w:val="clear" w:color="000000" w:fill="CCCCCC"/>
            <w:vAlign w:val="center"/>
            <w:hideMark/>
          </w:tcPr>
          <w:p w:rsidR="001B3D50" w:rsidRPr="004A595A" w:rsidRDefault="001B3D50" w:rsidP="00A612A0">
            <w:pPr>
              <w:keepNext/>
              <w:keepLines/>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Kultur og kommunikasjon</w:t>
            </w: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60</w:t>
            </w: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25</w:t>
            </w: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15</w:t>
            </w: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r>
      <w:tr w:rsidR="001B3D50" w:rsidRPr="004A595A" w:rsidTr="0041468E">
        <w:trPr>
          <w:trHeight w:val="345"/>
        </w:trPr>
        <w:tc>
          <w:tcPr>
            <w:tcW w:w="2304" w:type="pct"/>
            <w:tcBorders>
              <w:top w:val="nil"/>
              <w:left w:val="nil"/>
              <w:bottom w:val="nil"/>
              <w:right w:val="nil"/>
            </w:tcBorders>
            <w:shd w:val="clear" w:color="auto" w:fill="auto"/>
            <w:vAlign w:val="center"/>
            <w:hideMark/>
          </w:tcPr>
          <w:p w:rsidR="001B3D50" w:rsidRPr="004A595A" w:rsidRDefault="001B3D50" w:rsidP="00A612A0">
            <w:pPr>
              <w:keepNext/>
              <w:keepLines/>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Offentlig administrasjon og ledelse</w:t>
            </w: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65</w:t>
            </w: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10</w:t>
            </w: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25</w:t>
            </w:r>
          </w:p>
        </w:tc>
      </w:tr>
      <w:tr w:rsidR="001B3D50" w:rsidRPr="004A595A" w:rsidTr="0041468E">
        <w:trPr>
          <w:trHeight w:val="345"/>
        </w:trPr>
        <w:tc>
          <w:tcPr>
            <w:tcW w:w="2304" w:type="pct"/>
            <w:tcBorders>
              <w:top w:val="nil"/>
              <w:left w:val="nil"/>
              <w:bottom w:val="nil"/>
              <w:right w:val="nil"/>
            </w:tcBorders>
            <w:shd w:val="clear" w:color="000000" w:fill="CCCCCC"/>
            <w:vAlign w:val="center"/>
            <w:hideMark/>
          </w:tcPr>
          <w:p w:rsidR="001B3D50" w:rsidRPr="004A595A" w:rsidRDefault="001B3D50" w:rsidP="00A612A0">
            <w:pPr>
              <w:keepNext/>
              <w:keepLines/>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Samfunnsgeografi</w:t>
            </w: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15</w:t>
            </w: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85</w:t>
            </w: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nil"/>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r>
      <w:tr w:rsidR="001B3D50" w:rsidRPr="004A595A" w:rsidTr="0041468E">
        <w:trPr>
          <w:trHeight w:val="360"/>
        </w:trPr>
        <w:tc>
          <w:tcPr>
            <w:tcW w:w="2304" w:type="pct"/>
            <w:tcBorders>
              <w:top w:val="nil"/>
              <w:left w:val="nil"/>
              <w:right w:val="nil"/>
            </w:tcBorders>
            <w:shd w:val="clear" w:color="auto" w:fill="auto"/>
            <w:vAlign w:val="center"/>
            <w:hideMark/>
          </w:tcPr>
          <w:p w:rsidR="001B3D50" w:rsidRPr="004A595A" w:rsidRDefault="001B3D50" w:rsidP="00A612A0">
            <w:pPr>
              <w:keepNext/>
              <w:keepLines/>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Sosiologi</w:t>
            </w:r>
          </w:p>
        </w:tc>
        <w:tc>
          <w:tcPr>
            <w:tcW w:w="449" w:type="pct"/>
            <w:tcBorders>
              <w:top w:val="nil"/>
              <w:left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90</w:t>
            </w:r>
          </w:p>
        </w:tc>
        <w:tc>
          <w:tcPr>
            <w:tcW w:w="449" w:type="pct"/>
            <w:tcBorders>
              <w:top w:val="nil"/>
              <w:left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10</w:t>
            </w:r>
          </w:p>
        </w:tc>
        <w:tc>
          <w:tcPr>
            <w:tcW w:w="449" w:type="pct"/>
            <w:tcBorders>
              <w:top w:val="nil"/>
              <w:left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right w:val="nil"/>
            </w:tcBorders>
            <w:shd w:val="clear" w:color="auto" w:fill="auto"/>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r>
      <w:tr w:rsidR="001B3D50" w:rsidRPr="004A595A" w:rsidTr="0041468E">
        <w:trPr>
          <w:trHeight w:val="345"/>
        </w:trPr>
        <w:tc>
          <w:tcPr>
            <w:tcW w:w="2304" w:type="pct"/>
            <w:tcBorders>
              <w:top w:val="nil"/>
              <w:left w:val="nil"/>
              <w:bottom w:val="single" w:sz="8" w:space="0" w:color="000000"/>
              <w:right w:val="nil"/>
            </w:tcBorders>
            <w:shd w:val="clear" w:color="000000" w:fill="CCCCCC"/>
            <w:vAlign w:val="center"/>
            <w:hideMark/>
          </w:tcPr>
          <w:p w:rsidR="001B3D50" w:rsidRPr="004A595A" w:rsidRDefault="001B3D50" w:rsidP="00A612A0">
            <w:pPr>
              <w:keepNext/>
              <w:keepLines/>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Utviklingsstudier</w:t>
            </w:r>
          </w:p>
        </w:tc>
        <w:tc>
          <w:tcPr>
            <w:tcW w:w="449" w:type="pct"/>
            <w:tcBorders>
              <w:top w:val="nil"/>
              <w:left w:val="nil"/>
              <w:bottom w:val="single" w:sz="8" w:space="0" w:color="000000"/>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25</w:t>
            </w:r>
          </w:p>
        </w:tc>
        <w:tc>
          <w:tcPr>
            <w:tcW w:w="449" w:type="pct"/>
            <w:tcBorders>
              <w:top w:val="nil"/>
              <w:left w:val="nil"/>
              <w:bottom w:val="single" w:sz="8" w:space="0" w:color="000000"/>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55</w:t>
            </w:r>
          </w:p>
        </w:tc>
        <w:tc>
          <w:tcPr>
            <w:tcW w:w="449" w:type="pct"/>
            <w:tcBorders>
              <w:top w:val="nil"/>
              <w:left w:val="nil"/>
              <w:bottom w:val="single" w:sz="8" w:space="0" w:color="000000"/>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single" w:sz="8" w:space="0" w:color="000000"/>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10</w:t>
            </w:r>
          </w:p>
        </w:tc>
        <w:tc>
          <w:tcPr>
            <w:tcW w:w="449" w:type="pct"/>
            <w:tcBorders>
              <w:top w:val="nil"/>
              <w:left w:val="nil"/>
              <w:bottom w:val="single" w:sz="8" w:space="0" w:color="000000"/>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p>
        </w:tc>
        <w:tc>
          <w:tcPr>
            <w:tcW w:w="449" w:type="pct"/>
            <w:tcBorders>
              <w:top w:val="nil"/>
              <w:left w:val="nil"/>
              <w:bottom w:val="single" w:sz="8" w:space="0" w:color="000000"/>
              <w:right w:val="nil"/>
            </w:tcBorders>
            <w:shd w:val="clear" w:color="000000" w:fill="CCCCCC"/>
            <w:vAlign w:val="center"/>
            <w:hideMark/>
          </w:tcPr>
          <w:p w:rsidR="001B3D50" w:rsidRPr="004A595A" w:rsidRDefault="001B3D50" w:rsidP="00A612A0">
            <w:pPr>
              <w:keepNext/>
              <w:keepLines/>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10</w:t>
            </w:r>
          </w:p>
        </w:tc>
      </w:tr>
    </w:tbl>
    <w:p w:rsidR="00C735D0" w:rsidRDefault="00C735D0" w:rsidP="00F90F75">
      <w:pPr>
        <w:pStyle w:val="BodyText"/>
        <w:rPr>
          <w:lang w:val="nb-NO"/>
        </w:rPr>
      </w:pPr>
    </w:p>
    <w:p w:rsidR="006702DA" w:rsidRDefault="002B02F9" w:rsidP="005F2972">
      <w:pPr>
        <w:pStyle w:val="BodyText"/>
        <w:rPr>
          <w:lang w:val="nb-NO"/>
        </w:rPr>
      </w:pPr>
      <w:r>
        <w:rPr>
          <w:b/>
          <w:lang w:val="nb-NO"/>
        </w:rPr>
        <w:t xml:space="preserve">Foreløpig </w:t>
      </w:r>
      <w:r w:rsidR="002D0F49">
        <w:rPr>
          <w:b/>
          <w:lang w:val="nb-NO"/>
        </w:rPr>
        <w:t>k</w:t>
      </w:r>
      <w:r w:rsidR="002D0F49" w:rsidRPr="00EC1134">
        <w:rPr>
          <w:b/>
          <w:lang w:val="nb-NO"/>
        </w:rPr>
        <w:t>onklusjon:</w:t>
      </w:r>
    </w:p>
    <w:p w:rsidR="005F2972" w:rsidRPr="00EC1134" w:rsidRDefault="009020E5" w:rsidP="00F90F75">
      <w:pPr>
        <w:pStyle w:val="BodyText"/>
        <w:rPr>
          <w:lang w:val="nb-NO"/>
        </w:rPr>
      </w:pPr>
      <w:r>
        <w:rPr>
          <w:lang w:val="nb-NO"/>
        </w:rPr>
        <w:t xml:space="preserve">I den nye modellen </w:t>
      </w:r>
      <w:r w:rsidR="009A5477" w:rsidRPr="00C5389C">
        <w:rPr>
          <w:lang w:val="nb-NO"/>
        </w:rPr>
        <w:t>foreslås at dersom en annen enhet leverer 10 prosent eller mer av avlagte studiepoeng til studentene på et program, tilordnes denne enheten en andel av opptaksrammen som tilsvarer andelen leverte studiepoeng</w:t>
      </w:r>
      <w:r w:rsidR="009A5477">
        <w:rPr>
          <w:lang w:val="nb-NO"/>
        </w:rPr>
        <w:t>.</w:t>
      </w:r>
    </w:p>
    <w:p w:rsidR="009473AE" w:rsidRPr="00EC1134" w:rsidRDefault="00FA71A8" w:rsidP="00FA71A8">
      <w:pPr>
        <w:pStyle w:val="Heading2"/>
      </w:pPr>
      <w:r w:rsidRPr="00EC1134">
        <w:t>Fakultetsadministrasjonen</w:t>
      </w:r>
    </w:p>
    <w:p w:rsidR="00262F99" w:rsidRPr="00EC1134" w:rsidRDefault="00262F99" w:rsidP="00262F99">
      <w:pPr>
        <w:pStyle w:val="BodyText"/>
        <w:rPr>
          <w:lang w:val="nb-NO" w:eastAsia="en-US"/>
        </w:rPr>
      </w:pPr>
      <w:r w:rsidRPr="00EC1134">
        <w:rPr>
          <w:lang w:val="nb-NO" w:eastAsia="en-US"/>
        </w:rPr>
        <w:t>I dagens modell er fakultetsadministrasjonen finansiert gjennom skattelegging av resultatinntekter, internbetaling for tjenester (IT, personal og økonomi) samt øremerkede tildelinger.</w:t>
      </w:r>
    </w:p>
    <w:p w:rsidR="00FA71A8" w:rsidRPr="00EC1134" w:rsidRDefault="00262F99" w:rsidP="00262F99">
      <w:pPr>
        <w:pStyle w:val="BodyText"/>
        <w:rPr>
          <w:lang w:val="nb-NO" w:eastAsia="en-US"/>
        </w:rPr>
      </w:pPr>
      <w:r w:rsidRPr="00EC1134">
        <w:rPr>
          <w:lang w:val="nb-NO" w:eastAsia="en-US"/>
        </w:rPr>
        <w:t xml:space="preserve">Som en konsekvens av </w:t>
      </w:r>
      <w:r w:rsidR="002855A7" w:rsidRPr="00EC1134">
        <w:rPr>
          <w:lang w:val="nb-NO" w:eastAsia="en-US"/>
        </w:rPr>
        <w:t>fordelingsmodell</w:t>
      </w:r>
      <w:r w:rsidRPr="00EC1134">
        <w:rPr>
          <w:lang w:val="nb-NO" w:eastAsia="en-US"/>
        </w:rPr>
        <w:t xml:space="preserve">en har fakultetsadministrasjonens </w:t>
      </w:r>
      <w:r w:rsidR="002D0F49" w:rsidRPr="00EC1134">
        <w:rPr>
          <w:lang w:val="nb-NO" w:eastAsia="en-US"/>
        </w:rPr>
        <w:t>budsjettet svingt</w:t>
      </w:r>
      <w:r w:rsidRPr="00EC1134">
        <w:rPr>
          <w:lang w:val="nb-NO" w:eastAsia="en-US"/>
        </w:rPr>
        <w:t xml:space="preserve"> i takt med resultatinntektene; i en lengre periode har de økt som følge av veksten i særlig forskningsrelaterte resultatinntekter. Det er vanskelig å se begrunnelsen for at </w:t>
      </w:r>
      <w:r w:rsidR="00EB254C" w:rsidRPr="00EC1134">
        <w:rPr>
          <w:lang w:val="nb-NO" w:eastAsia="en-US"/>
        </w:rPr>
        <w:t>størrelsen på</w:t>
      </w:r>
      <w:r w:rsidRPr="00EC1134">
        <w:rPr>
          <w:lang w:val="nb-NO" w:eastAsia="en-US"/>
        </w:rPr>
        <w:t xml:space="preserve"> fakultetsadministrasjonen skal svinge på en slik måte.</w:t>
      </w:r>
    </w:p>
    <w:p w:rsidR="00262F99" w:rsidRPr="00EC1134" w:rsidRDefault="00262F99" w:rsidP="00262F99">
      <w:pPr>
        <w:pStyle w:val="BodyText"/>
        <w:rPr>
          <w:lang w:val="nb-NO" w:eastAsia="en-US"/>
        </w:rPr>
      </w:pPr>
      <w:r w:rsidRPr="00EC1134">
        <w:rPr>
          <w:lang w:val="nb-NO" w:eastAsia="en-US"/>
        </w:rPr>
        <w:t>Internbetaling</w:t>
      </w:r>
      <w:r w:rsidR="00EB254C" w:rsidRPr="00EC1134">
        <w:rPr>
          <w:lang w:val="nb-NO" w:eastAsia="en-US"/>
        </w:rPr>
        <w:t>en</w:t>
      </w:r>
      <w:r w:rsidRPr="00EC1134">
        <w:rPr>
          <w:lang w:val="nb-NO" w:eastAsia="en-US"/>
        </w:rPr>
        <w:t xml:space="preserve"> for tjenester er basert på enhetenes faktiske utgifter da tjenestene ble overført til fakultetet; det er uklart hvor godt disse samsvarer med den faktiske bruken av tjenestene idag (se forøvrig nedenfor om internbetaling).</w:t>
      </w:r>
    </w:p>
    <w:p w:rsidR="00EB254C" w:rsidRPr="00EC1134" w:rsidRDefault="00EB254C" w:rsidP="00262F99">
      <w:pPr>
        <w:pStyle w:val="BodyText"/>
        <w:rPr>
          <w:lang w:val="nb-NO" w:eastAsia="en-US"/>
        </w:rPr>
      </w:pPr>
      <w:r w:rsidRPr="00EC1134">
        <w:rPr>
          <w:lang w:val="nb-NO" w:eastAsia="en-US"/>
        </w:rPr>
        <w:t xml:space="preserve">Skattesatsene på de ulike resultatinntektene varierer, fra 0 prosent </w:t>
      </w:r>
      <w:r w:rsidR="005D1324" w:rsidRPr="00EC1134">
        <w:rPr>
          <w:lang w:val="nb-NO" w:eastAsia="en-US"/>
        </w:rPr>
        <w:t>for publikasjonsinntekter til 42</w:t>
      </w:r>
      <w:r w:rsidRPr="00EC1134">
        <w:rPr>
          <w:lang w:val="nb-NO" w:eastAsia="en-US"/>
        </w:rPr>
        <w:t>,4 prosent for NFR- og EU-inntekter. For studiepoenginntektene er satsene 28 prosent for bachelor og 7 prosent for master og prof</w:t>
      </w:r>
      <w:r w:rsidR="005D1324" w:rsidRPr="00EC1134">
        <w:rPr>
          <w:lang w:val="nb-NO" w:eastAsia="en-US"/>
        </w:rPr>
        <w:t>esjon. Skattesatsen på 42</w:t>
      </w:r>
      <w:r w:rsidRPr="00EC1134">
        <w:rPr>
          <w:lang w:val="nb-NO" w:eastAsia="en-US"/>
        </w:rPr>
        <w:t xml:space="preserve">,4 prosent er sammenfallende med den universitetet benytter; de øvrige later til å være begrunnet utfra en kostnadsbetraktning (fakultetet tar en større del av det studieadministrative ansvaret for bachelor enn </w:t>
      </w:r>
      <w:r w:rsidR="005D1324" w:rsidRPr="00EC1134">
        <w:rPr>
          <w:lang w:val="nb-NO" w:eastAsia="en-US"/>
        </w:rPr>
        <w:t xml:space="preserve">for </w:t>
      </w:r>
      <w:r w:rsidRPr="00EC1134">
        <w:rPr>
          <w:lang w:val="nb-NO" w:eastAsia="en-US"/>
        </w:rPr>
        <w:t>de øvrige studiene). Skattesatsene vurderes nærmere nedenfor, men det bemerkes allerede her at det er vanskelig å se en klar begrunnelse for å beskatte de ulike resultatkomponentene på forskjellige måter.</w:t>
      </w:r>
    </w:p>
    <w:p w:rsidR="00EB254C" w:rsidRPr="00EC1134" w:rsidRDefault="00EB254C" w:rsidP="00262F99">
      <w:pPr>
        <w:pStyle w:val="BodyText"/>
        <w:rPr>
          <w:lang w:val="nb-NO" w:eastAsia="en-US"/>
        </w:rPr>
      </w:pPr>
      <w:r w:rsidRPr="00EC1134">
        <w:rPr>
          <w:lang w:val="nb-NO" w:eastAsia="en-US"/>
        </w:rPr>
        <w:t>Det synes i utgangspunktet rimelig at størrelsen på fakultetsadministra</w:t>
      </w:r>
      <w:r w:rsidR="00225674" w:rsidRPr="00EC1134">
        <w:rPr>
          <w:lang w:val="nb-NO" w:eastAsia="en-US"/>
        </w:rPr>
        <w:t xml:space="preserve">sjonen baseres på en </w:t>
      </w:r>
      <w:r w:rsidRPr="00EC1134">
        <w:rPr>
          <w:lang w:val="nb-NO" w:eastAsia="en-US"/>
        </w:rPr>
        <w:t>vurdering av behov og kost</w:t>
      </w:r>
      <w:r w:rsidR="005D1324" w:rsidRPr="00EC1134">
        <w:rPr>
          <w:lang w:val="nb-NO" w:eastAsia="en-US"/>
        </w:rPr>
        <w:t>nader</w:t>
      </w:r>
      <w:r w:rsidRPr="00EC1134">
        <w:rPr>
          <w:lang w:val="nb-NO" w:eastAsia="en-US"/>
        </w:rPr>
        <w:t xml:space="preserve"> og ikke avhenger av (mer eller mindre tilfeldige) sving</w:t>
      </w:r>
      <w:r w:rsidR="00225674" w:rsidRPr="00EC1134">
        <w:rPr>
          <w:lang w:val="nb-NO" w:eastAsia="en-US"/>
        </w:rPr>
        <w:t>ninger i fakultets samlede inntekter. Størrelsen på fakultetsadministrasjonen må selvfølgelig avhenge av aktiviteten på fakultetet, men det bør være basert på en eksplisitt vurdering og ikke tilfeldige utslag i inntektene.</w:t>
      </w:r>
    </w:p>
    <w:p w:rsidR="00225674" w:rsidRPr="00EC1134" w:rsidRDefault="002B02F9" w:rsidP="00262F99">
      <w:pPr>
        <w:pStyle w:val="BodyText"/>
        <w:rPr>
          <w:lang w:val="nb-NO" w:eastAsia="en-US"/>
        </w:rPr>
      </w:pPr>
      <w:r>
        <w:rPr>
          <w:b/>
          <w:lang w:val="nb-NO" w:eastAsia="en-US"/>
        </w:rPr>
        <w:t>Foreløpig k</w:t>
      </w:r>
      <w:r w:rsidR="005D1324" w:rsidRPr="00EC1134">
        <w:rPr>
          <w:b/>
          <w:lang w:val="nb-NO" w:eastAsia="en-US"/>
        </w:rPr>
        <w:t>onklusjon:</w:t>
      </w:r>
      <w:r w:rsidR="005D1324" w:rsidRPr="00EC1134">
        <w:rPr>
          <w:lang w:val="nb-NO" w:eastAsia="en-US"/>
        </w:rPr>
        <w:t xml:space="preserve"> </w:t>
      </w:r>
      <w:r w:rsidR="00225674" w:rsidRPr="00EC1134">
        <w:rPr>
          <w:lang w:val="nb-NO" w:eastAsia="en-US"/>
        </w:rPr>
        <w:t>Det foreslås derfor at fakultetsadministrasjonens budsjett fastsettes gjennom budsjettvedtak i fakultetsstyret, og at inndekningen sikres gjennom å holde tilbake et tilsvarende beløp fra fakultetets samlede tildeling. Dette beløpet fordeles jevnt over alle inntektskategorier, altså slik at alle inntekter beskattes med samme sats. Fakultetsstyrets satsninger finansieres på samme måte.</w:t>
      </w:r>
    </w:p>
    <w:p w:rsidR="00225674" w:rsidRPr="00EC1134" w:rsidRDefault="00225674" w:rsidP="00262F99">
      <w:pPr>
        <w:pStyle w:val="BodyText"/>
        <w:rPr>
          <w:lang w:val="nb-NO" w:eastAsia="en-US"/>
        </w:rPr>
      </w:pPr>
      <w:r w:rsidRPr="00EC1134">
        <w:rPr>
          <w:lang w:val="nb-NO" w:eastAsia="en-US"/>
        </w:rPr>
        <w:t>For 2018 tilsvarer summen av fakultetsadministrasjonens budsjett o</w:t>
      </w:r>
      <w:r w:rsidR="005D1324" w:rsidRPr="00EC1134">
        <w:rPr>
          <w:lang w:val="nb-NO" w:eastAsia="en-US"/>
        </w:rPr>
        <w:t>g fakultetsstyrets satsninger 14</w:t>
      </w:r>
      <w:r w:rsidRPr="00EC1134">
        <w:rPr>
          <w:lang w:val="nb-NO" w:eastAsia="en-US"/>
        </w:rPr>
        <w:t xml:space="preserve"> pros</w:t>
      </w:r>
      <w:r w:rsidR="005D1324" w:rsidRPr="00EC1134">
        <w:rPr>
          <w:lang w:val="nb-NO" w:eastAsia="en-US"/>
        </w:rPr>
        <w:t xml:space="preserve">ent av fakultetets samlede </w:t>
      </w:r>
      <w:r w:rsidRPr="00EC1134">
        <w:rPr>
          <w:lang w:val="nb-NO" w:eastAsia="en-US"/>
        </w:rPr>
        <w:t>inntekt</w:t>
      </w:r>
      <w:r w:rsidR="005D1324" w:rsidRPr="00EC1134">
        <w:rPr>
          <w:lang w:val="nb-NO" w:eastAsia="en-US"/>
        </w:rPr>
        <w:t>er</w:t>
      </w:r>
      <w:r w:rsidRPr="00EC1134">
        <w:rPr>
          <w:lang w:val="nb-NO" w:eastAsia="en-US"/>
        </w:rPr>
        <w:t>. Ved fordelingen til enhetene ville derfor</w:t>
      </w:r>
      <w:r w:rsidR="005D1324" w:rsidRPr="00EC1134">
        <w:rPr>
          <w:lang w:val="nb-NO" w:eastAsia="en-US"/>
        </w:rPr>
        <w:t xml:space="preserve"> inntektene bli beskattet med 14</w:t>
      </w:r>
      <w:r w:rsidRPr="00EC1134">
        <w:rPr>
          <w:lang w:val="nb-NO" w:eastAsia="en-US"/>
        </w:rPr>
        <w:t xml:space="preserve"> prosent.</w:t>
      </w:r>
    </w:p>
    <w:p w:rsidR="00FA71A8" w:rsidRPr="00EC1134" w:rsidRDefault="00FA71A8" w:rsidP="00FA71A8">
      <w:pPr>
        <w:pStyle w:val="Heading2"/>
      </w:pPr>
      <w:r w:rsidRPr="00EC1134">
        <w:t>Internbetaling</w:t>
      </w:r>
    </w:p>
    <w:p w:rsidR="00FA71A8" w:rsidRPr="00EC1134" w:rsidRDefault="00BC56AC" w:rsidP="00FA71A8">
      <w:pPr>
        <w:pStyle w:val="BodyText"/>
        <w:rPr>
          <w:lang w:val="nb-NO" w:eastAsia="en-US"/>
        </w:rPr>
      </w:pPr>
      <w:r w:rsidRPr="00EC1134">
        <w:rPr>
          <w:lang w:val="nb-NO" w:eastAsia="en-US"/>
        </w:rPr>
        <w:t xml:space="preserve">I dagens modell belastes enhetene faste beløp for </w:t>
      </w:r>
      <w:r w:rsidR="005A405B" w:rsidRPr="00EC1134">
        <w:rPr>
          <w:lang w:val="nb-NO" w:eastAsia="en-US"/>
        </w:rPr>
        <w:t>ulike tjenester. De omfatter IT, personal og økonomi. I tillegg belastes enhetene for husleie, men disse kompenseres med tilsvarende inntekter, slik at nettovirkningen er null. For husleien er betalingen i henhold til faktiske utgifter, mens for de øvrige tjenester er betalingen basert på historiske kostnader fra da tjenestene fremdeles lå på enhetene.</w:t>
      </w:r>
    </w:p>
    <w:p w:rsidR="005A405B" w:rsidRPr="00EC1134" w:rsidRDefault="005A405B" w:rsidP="00FA71A8">
      <w:pPr>
        <w:pStyle w:val="BodyText"/>
        <w:rPr>
          <w:lang w:val="nb-NO" w:eastAsia="en-US"/>
        </w:rPr>
      </w:pPr>
      <w:r w:rsidRPr="00EC1134">
        <w:rPr>
          <w:lang w:val="nb-NO" w:eastAsia="en-US"/>
        </w:rPr>
        <w:t>Når det gjelder IT, personal og økonomi, er det uklart om betalingen står i et rimelig forhold til det omfang av tjenestene som enhetene faktisk benytter. Forøvrig er det ikke klart hvorfor akkurat disse tjenestene skal belastes særskilt, i motsetning til de andre tjenestene som enhetene får fra fakultetsadministrasjonen.</w:t>
      </w:r>
    </w:p>
    <w:p w:rsidR="005A405B" w:rsidRPr="00EC1134" w:rsidRDefault="005A405B" w:rsidP="00FA71A8">
      <w:pPr>
        <w:pStyle w:val="BodyText"/>
        <w:rPr>
          <w:lang w:val="nb-NO" w:eastAsia="en-US"/>
        </w:rPr>
      </w:pPr>
      <w:r w:rsidRPr="00EC1134">
        <w:rPr>
          <w:lang w:val="nb-NO" w:eastAsia="en-US"/>
        </w:rPr>
        <w:t>I prinsippet kunne man tenke seg å innføre et mer generelt system for internbetaling, men det er åpenbar</w:t>
      </w:r>
      <w:r w:rsidR="002E244B" w:rsidRPr="00EC1134">
        <w:rPr>
          <w:lang w:val="nb-NO" w:eastAsia="en-US"/>
        </w:rPr>
        <w:t>e</w:t>
      </w:r>
      <w:r w:rsidRPr="00EC1134">
        <w:rPr>
          <w:lang w:val="nb-NO" w:eastAsia="en-US"/>
        </w:rPr>
        <w:t xml:space="preserve"> prinsipielle og praktiske problemer med et slikt system. For det første er det ikke gitt at man ønsker å begrense enhetenes bruk av tjenestene, ved å påføre dem en kostnad. For det andre ville det være vanskelig å fastsette rimelige priser og måle bruken av tjenestene. Det foreslås derfor ikke å innføre et slikt system.</w:t>
      </w:r>
    </w:p>
    <w:p w:rsidR="00FA71A8" w:rsidRPr="00EC1134" w:rsidRDefault="005A405B" w:rsidP="00FA71A8">
      <w:pPr>
        <w:pStyle w:val="BodyText"/>
        <w:rPr>
          <w:lang w:val="nb-NO" w:eastAsia="en-US"/>
        </w:rPr>
      </w:pPr>
      <w:r w:rsidRPr="00EC1134">
        <w:rPr>
          <w:lang w:val="nb-NO" w:eastAsia="en-US"/>
        </w:rPr>
        <w:t xml:space="preserve">En unntagelse gjelder husleie. Universitetet har innført et nytt husleiesystem, i den hensikt å gi de ulike virksomhetene incitament til å husholde med plassen. For at dette systemet skal virke etter hensikten, må enhetene belastes for de arealer de faktisk bruker. Det foreslås derfor at </w:t>
      </w:r>
      <w:r w:rsidR="00891924" w:rsidRPr="00EC1134">
        <w:rPr>
          <w:lang w:val="nb-NO" w:eastAsia="en-US"/>
        </w:rPr>
        <w:t>enhetene fortsatt må betale husleie, men at denne ikke utlignes i inntektene slik som idag.</w:t>
      </w:r>
    </w:p>
    <w:p w:rsidR="00891924" w:rsidRPr="00EC1134" w:rsidRDefault="002B02F9" w:rsidP="00FA71A8">
      <w:pPr>
        <w:pStyle w:val="BodyText"/>
        <w:rPr>
          <w:lang w:val="nb-NO" w:eastAsia="en-US"/>
        </w:rPr>
      </w:pPr>
      <w:r>
        <w:rPr>
          <w:b/>
          <w:lang w:val="nb-NO" w:eastAsia="en-US"/>
        </w:rPr>
        <w:t>Foreløpig k</w:t>
      </w:r>
      <w:r w:rsidR="002E244B" w:rsidRPr="00EC1134">
        <w:rPr>
          <w:b/>
          <w:lang w:val="nb-NO" w:eastAsia="en-US"/>
        </w:rPr>
        <w:t>onklusjon:</w:t>
      </w:r>
      <w:r w:rsidR="002E244B" w:rsidRPr="00EC1134">
        <w:rPr>
          <w:lang w:val="nb-NO" w:eastAsia="en-US"/>
        </w:rPr>
        <w:t xml:space="preserve"> </w:t>
      </w:r>
      <w:r w:rsidR="00891924" w:rsidRPr="00EC1134">
        <w:rPr>
          <w:lang w:val="nb-NO" w:eastAsia="en-US"/>
        </w:rPr>
        <w:t>I sum betyr det</w:t>
      </w:r>
      <w:r w:rsidR="002E244B" w:rsidRPr="00EC1134">
        <w:rPr>
          <w:lang w:val="nb-NO" w:eastAsia="en-US"/>
        </w:rPr>
        <w:t xml:space="preserve">te at husleiebetalingen består – </w:t>
      </w:r>
      <w:r w:rsidR="00891924" w:rsidRPr="00EC1134">
        <w:rPr>
          <w:lang w:val="nb-NO" w:eastAsia="en-US"/>
        </w:rPr>
        <w:t>og at kompensasjonen fjernes</w:t>
      </w:r>
      <w:r w:rsidR="002E244B" w:rsidRPr="00EC1134">
        <w:rPr>
          <w:lang w:val="nb-NO" w:eastAsia="en-US"/>
        </w:rPr>
        <w:t xml:space="preserve"> –</w:t>
      </w:r>
      <w:r w:rsidR="00891924" w:rsidRPr="00EC1134">
        <w:rPr>
          <w:lang w:val="nb-NO" w:eastAsia="en-US"/>
        </w:rPr>
        <w:t xml:space="preserve"> men at enhetenes betaling for andre tjenester ikke videreføres.</w:t>
      </w:r>
    </w:p>
    <w:p w:rsidR="00D971A4" w:rsidRPr="00EC1134" w:rsidRDefault="00D971A4" w:rsidP="00D971A4">
      <w:pPr>
        <w:pStyle w:val="Heading2"/>
      </w:pPr>
      <w:r w:rsidRPr="00EC1134">
        <w:t>Fordeling versus satsninger</w:t>
      </w:r>
    </w:p>
    <w:p w:rsidR="00D971A4" w:rsidRPr="00EC1134" w:rsidRDefault="009A09E3" w:rsidP="00D971A4">
      <w:pPr>
        <w:pStyle w:val="BodyText"/>
        <w:rPr>
          <w:lang w:val="nb-NO"/>
        </w:rPr>
      </w:pPr>
      <w:r w:rsidRPr="00EC1134">
        <w:rPr>
          <w:lang w:val="nb-NO"/>
        </w:rPr>
        <w:t>I dagens modell skjer fordelingen til enhetene dels ve</w:t>
      </w:r>
      <w:r w:rsidR="00A641A9" w:rsidRPr="00EC1134">
        <w:rPr>
          <w:lang w:val="nb-NO"/>
        </w:rPr>
        <w:t>d måltall og dels ved såkalte "</w:t>
      </w:r>
      <w:r w:rsidRPr="00EC1134">
        <w:rPr>
          <w:lang w:val="nb-NO"/>
        </w:rPr>
        <w:t>satsninger". Hove</w:t>
      </w:r>
      <w:r w:rsidR="00A641A9" w:rsidRPr="00EC1134">
        <w:rPr>
          <w:lang w:val="nb-NO"/>
        </w:rPr>
        <w:t>dtyngden av stipendiat- og post</w:t>
      </w:r>
      <w:r w:rsidRPr="00EC1134">
        <w:rPr>
          <w:lang w:val="nb-NO"/>
        </w:rPr>
        <w:t>doktorstillinger fordeles i henhold til måltall, men noen av stillingene fordeles etter en "strategisk" eller skjønnsmessig vurdering. Universitetets satsninger videreføres i all hovedsak direkte til enhetene. I tillegg har fakultetsstyret vedtatt egne satsninger, som Eilert Sundt-stipendene.</w:t>
      </w:r>
    </w:p>
    <w:p w:rsidR="009A09E3" w:rsidRPr="00EC1134" w:rsidRDefault="009A09E3" w:rsidP="00D971A4">
      <w:pPr>
        <w:pStyle w:val="BodyText"/>
        <w:rPr>
          <w:lang w:val="nb-NO"/>
        </w:rPr>
      </w:pPr>
      <w:r w:rsidRPr="00EC1134">
        <w:rPr>
          <w:lang w:val="nb-NO"/>
        </w:rPr>
        <w:t>Enkelte andre fakulteter ved Universitetet i Oslo tildeler en større del av budsjettene gjennom strategiske satsninger. Slike satsninger gir fakultetsstyrets større mulighet for direkte prioriteringer, i tillegg til – eller uavhengig av – de føringer som følger av departementets eller universitetets tildelinger. Samtidig begrenser satsningene enhetenes egne prioriteringer.</w:t>
      </w:r>
    </w:p>
    <w:p w:rsidR="00D971A4" w:rsidRPr="00EC1134" w:rsidRDefault="002B02F9" w:rsidP="007F5C12">
      <w:pPr>
        <w:pStyle w:val="BodyText"/>
        <w:rPr>
          <w:lang w:val="nb-NO"/>
        </w:rPr>
      </w:pPr>
      <w:r>
        <w:rPr>
          <w:b/>
          <w:lang w:val="nb-NO"/>
        </w:rPr>
        <w:t>Foreløpig k</w:t>
      </w:r>
      <w:r w:rsidR="00A641A9" w:rsidRPr="00EC1134">
        <w:rPr>
          <w:b/>
          <w:lang w:val="nb-NO"/>
        </w:rPr>
        <w:t xml:space="preserve">onklusjon: </w:t>
      </w:r>
      <w:r w:rsidR="009A09E3" w:rsidRPr="00EC1134">
        <w:rPr>
          <w:lang w:val="nb-NO"/>
        </w:rPr>
        <w:t xml:space="preserve">Det anbefales at fakultetet fortsetter med å videreføre de satsninger som kommer fra universitetet (hensyn tatt til finansiering av fakultetsadministrasjonen, slik det er beskrevet ovenfor). Når det gjelder stipendiat- og postdoktorstillinger, bør det etableres nye måltall </w:t>
      </w:r>
      <w:r w:rsidR="007F5C12" w:rsidRPr="00EC1134">
        <w:rPr>
          <w:lang w:val="nb-NO"/>
        </w:rPr>
        <w:t xml:space="preserve">for enhetene etter størrelse, </w:t>
      </w:r>
      <w:r w:rsidR="009A09E3" w:rsidRPr="00EC1134">
        <w:rPr>
          <w:lang w:val="nb-NO"/>
        </w:rPr>
        <w:t xml:space="preserve">basert på </w:t>
      </w:r>
      <w:r w:rsidR="007F5C12" w:rsidRPr="00EC1134">
        <w:rPr>
          <w:lang w:val="nb-NO"/>
        </w:rPr>
        <w:t xml:space="preserve">de samme dimensjoneringskriteriene som benyttes for tildeling av studieplassinntekter. Fakultetsledelsen </w:t>
      </w:r>
      <w:r w:rsidR="007557C4">
        <w:rPr>
          <w:lang w:val="nb-NO"/>
        </w:rPr>
        <w:t>bør imidlertid ha frihet</w:t>
      </w:r>
      <w:r w:rsidR="007F5C12" w:rsidRPr="00EC1134">
        <w:rPr>
          <w:lang w:val="nb-NO"/>
        </w:rPr>
        <w:t xml:space="preserve"> til å avvike fra måltallene dersom det anses hensiktsmessig for å nå fakultetets strategiske målsetninger. I tillegg kan fakultetsstyret vedta egne satsninger finansiert ved tilbakeholdelse av midler, slik som for fakultetsadministrasjonen.</w:t>
      </w:r>
      <w:r w:rsidR="007F5C12" w:rsidRPr="00EC1134">
        <w:rPr>
          <w:szCs w:val="22"/>
          <w:lang w:val="nb-NO" w:eastAsia="en-US" w:bidi="en-US"/>
        </w:rPr>
        <w:t xml:space="preserve"> Det må til enhver tid være opp til fakultetsstyret å fastlegge omfanget av satsninger.</w:t>
      </w:r>
      <w:r w:rsidR="007F5C12" w:rsidRPr="00EC1134">
        <w:rPr>
          <w:lang w:val="nb-NO"/>
        </w:rPr>
        <w:t xml:space="preserve"> </w:t>
      </w:r>
    </w:p>
    <w:p w:rsidR="00D971A4" w:rsidRPr="00EC1134" w:rsidRDefault="00D971A4" w:rsidP="00D971A4">
      <w:pPr>
        <w:pStyle w:val="Heading2"/>
      </w:pPr>
      <w:r w:rsidRPr="00EC1134">
        <w:t>Incitamenter</w:t>
      </w:r>
    </w:p>
    <w:p w:rsidR="007F5C12" w:rsidRPr="00EC1134" w:rsidRDefault="007F5C12" w:rsidP="00D971A4">
      <w:pPr>
        <w:pStyle w:val="BodyText"/>
        <w:rPr>
          <w:lang w:val="nb-NO"/>
        </w:rPr>
      </w:pPr>
      <w:r w:rsidRPr="00EC1134">
        <w:rPr>
          <w:lang w:val="nb-NO"/>
        </w:rPr>
        <w:t>I dagens modell benyttes forskjellige skattesatser for resultatinntektene. For studiepoenginntektene beskattes bachelor</w:t>
      </w:r>
      <w:r w:rsidR="00663FC6" w:rsidRPr="00EC1134">
        <w:rPr>
          <w:lang w:val="nb-NO"/>
        </w:rPr>
        <w:t>studiene</w:t>
      </w:r>
      <w:r w:rsidRPr="00EC1134">
        <w:rPr>
          <w:lang w:val="nb-NO"/>
        </w:rPr>
        <w:t xml:space="preserve"> med en sats på 28 prosent, mens master</w:t>
      </w:r>
      <w:r w:rsidR="00663FC6" w:rsidRPr="00EC1134">
        <w:rPr>
          <w:lang w:val="nb-NO"/>
        </w:rPr>
        <w:t>-</w:t>
      </w:r>
      <w:r w:rsidRPr="00EC1134">
        <w:rPr>
          <w:lang w:val="nb-NO"/>
        </w:rPr>
        <w:t xml:space="preserve"> og profesjon</w:t>
      </w:r>
      <w:r w:rsidR="00663FC6" w:rsidRPr="00EC1134">
        <w:rPr>
          <w:lang w:val="nb-NO"/>
        </w:rPr>
        <w:t>sstudiene</w:t>
      </w:r>
      <w:r w:rsidRPr="00EC1134">
        <w:rPr>
          <w:lang w:val="nb-NO"/>
        </w:rPr>
        <w:t xml:space="preserve"> beskattes med 7 prosent. For resultatinntektene for forskning beskattes NFR- og EU-midler med 42,4 prosent og doktorgrader med 7 prosent, mens publikasjonspoeng ikke beskattes overhodet. Til sammenligning beskatter universitetet sentralt alle resultatinntekter med 42,4 prosent.</w:t>
      </w:r>
    </w:p>
    <w:p w:rsidR="007F5C12" w:rsidRPr="00EC1134" w:rsidRDefault="007F5C12" w:rsidP="00D971A4">
      <w:pPr>
        <w:pStyle w:val="BodyText"/>
        <w:rPr>
          <w:lang w:val="nb-NO"/>
        </w:rPr>
      </w:pPr>
      <w:r w:rsidRPr="00EC1134">
        <w:rPr>
          <w:lang w:val="nb-NO"/>
        </w:rPr>
        <w:t>Forskjellen i skattesats mellom bachelor</w:t>
      </w:r>
      <w:r w:rsidR="00663FC6" w:rsidRPr="00EC1134">
        <w:rPr>
          <w:lang w:val="nb-NO"/>
        </w:rPr>
        <w:t>studier</w:t>
      </w:r>
      <w:r w:rsidRPr="00EC1134">
        <w:rPr>
          <w:lang w:val="nb-NO"/>
        </w:rPr>
        <w:t xml:space="preserve"> på den ene side og master</w:t>
      </w:r>
      <w:r w:rsidR="00663FC6" w:rsidRPr="00EC1134">
        <w:rPr>
          <w:lang w:val="nb-NO"/>
        </w:rPr>
        <w:t>-</w:t>
      </w:r>
      <w:r w:rsidRPr="00EC1134">
        <w:rPr>
          <w:lang w:val="nb-NO"/>
        </w:rPr>
        <w:t xml:space="preserve"> og profesjon</w:t>
      </w:r>
      <w:r w:rsidR="00663FC6" w:rsidRPr="00EC1134">
        <w:rPr>
          <w:lang w:val="nb-NO"/>
        </w:rPr>
        <w:t>sstudier</w:t>
      </w:r>
      <w:r w:rsidRPr="00EC1134">
        <w:rPr>
          <w:lang w:val="nb-NO"/>
        </w:rPr>
        <w:t xml:space="preserve"> på den andre, synes å ha sin historiske begrunnelse i at </w:t>
      </w:r>
      <w:r w:rsidR="00663FC6" w:rsidRPr="00EC1134">
        <w:rPr>
          <w:lang w:val="nb-NO"/>
        </w:rPr>
        <w:t>fakultetet har et større ansvar for administrasjonen av bachelorstudiene enn for master- og profesjonsstudiene. Det er ikke klart hvorfor skattesatsene for forskning varierer.</w:t>
      </w:r>
    </w:p>
    <w:p w:rsidR="00663FC6" w:rsidRPr="00EC1134" w:rsidRDefault="00663FC6" w:rsidP="00D971A4">
      <w:pPr>
        <w:pStyle w:val="BodyText"/>
        <w:rPr>
          <w:lang w:val="nb-NO"/>
        </w:rPr>
      </w:pPr>
      <w:r w:rsidRPr="00EC1134">
        <w:rPr>
          <w:lang w:val="nb-NO"/>
        </w:rPr>
        <w:t>Generelt sett må man kunne anta at en høy skattesats gir mindre incitament til å oppnå resultater enn det en lav skattesats gjør. Slik sett er incitamentet til å øke studiepoengproduksjonen større for master- og profesjonsstudiene enn bachelorstudiene; tilsvarende er incitamentet til å skaffe midler fra NFR og EU lavere enn incitamentet til å skaffe publikasjonspoeng eller produsere doktorgrader; og gjennomgående er incitamentet til å produsere gode studieresultater er større enn til å produsere gode forskningsresultater.</w:t>
      </w:r>
    </w:p>
    <w:p w:rsidR="00663FC6" w:rsidRPr="00EC1134" w:rsidRDefault="00663FC6" w:rsidP="00D971A4">
      <w:pPr>
        <w:pStyle w:val="BodyText"/>
        <w:rPr>
          <w:lang w:val="nb-NO"/>
        </w:rPr>
      </w:pPr>
      <w:r w:rsidRPr="00EC1134">
        <w:rPr>
          <w:lang w:val="nb-NO"/>
        </w:rPr>
        <w:t>Det er vanskelig å se noen god begrunnelse for å justere de incitamentene som følger fra departementets og universitetets resultatmål. I prinsippet kunne man tenke seg at fakultetsstyret ønsket å prioritere enkelte resultater fremfor andre. I fravær av et slikt eksplisitt ønske bør alle resultater (og inntekter forøvrig) beskattes med samme sats. Hvor høy den satsen blir, vil avhenge av fakultetsstyrets tildeling til fakultetsadministrasjonen og satsninger.</w:t>
      </w:r>
    </w:p>
    <w:p w:rsidR="00F24234" w:rsidRPr="00EC1134" w:rsidRDefault="00F24234" w:rsidP="00F24234">
      <w:pPr>
        <w:pStyle w:val="BodyText"/>
        <w:rPr>
          <w:lang w:val="nb-NO" w:eastAsia="en-US"/>
        </w:rPr>
      </w:pPr>
      <w:r w:rsidRPr="00EC1134">
        <w:rPr>
          <w:lang w:val="nb-NO" w:eastAsia="en-US"/>
        </w:rPr>
        <w:t>Som nevnt ovenfor, tilsvarer summen av fakultetsadministrasjonens budsjett og fakultetsstyrets satsninger 14 prosent av fakultetets samlede inntekter for 2018, slik at ved forde</w:t>
      </w:r>
      <w:r w:rsidR="005640FC" w:rsidRPr="00EC1134">
        <w:rPr>
          <w:lang w:val="nb-NO" w:eastAsia="en-US"/>
        </w:rPr>
        <w:t xml:space="preserve">lingen til enhetene ville </w:t>
      </w:r>
      <w:r w:rsidRPr="00EC1134">
        <w:rPr>
          <w:lang w:val="nb-NO" w:eastAsia="en-US"/>
        </w:rPr>
        <w:t xml:space="preserve">inntektene bli beskattet med 14 prosent. Alternativt kunne man velge å beskatte kun basisinntektene og holde prosjektinntekter utenom. Som det fremgår av </w:t>
      </w:r>
      <w:r w:rsidRPr="00EC1134">
        <w:rPr>
          <w:lang w:val="nb-NO" w:eastAsia="en-US"/>
        </w:rPr>
        <w:fldChar w:fldCharType="begin"/>
      </w:r>
      <w:r w:rsidRPr="00EC1134">
        <w:rPr>
          <w:lang w:val="nb-NO" w:eastAsia="en-US"/>
        </w:rPr>
        <w:instrText xml:space="preserve"> REF _Ref508019194 \h \*Lower </w:instrText>
      </w:r>
      <w:r w:rsidRPr="00EC1134">
        <w:rPr>
          <w:lang w:val="nb-NO" w:eastAsia="en-US"/>
        </w:rPr>
      </w:r>
      <w:r w:rsidRPr="00EC1134">
        <w:rPr>
          <w:lang w:val="nb-NO" w:eastAsia="en-US"/>
        </w:rPr>
        <w:fldChar w:fldCharType="separate"/>
      </w:r>
      <w:r w:rsidR="00B759DD" w:rsidRPr="00EC1134">
        <w:rPr>
          <w:lang w:val="nb-NO"/>
        </w:rPr>
        <w:t xml:space="preserve">tabell </w:t>
      </w:r>
      <w:r w:rsidR="00B759DD">
        <w:rPr>
          <w:noProof/>
          <w:lang w:val="nb-NO"/>
        </w:rPr>
        <w:t>8</w:t>
      </w:r>
      <w:r w:rsidRPr="00EC1134">
        <w:rPr>
          <w:lang w:val="nb-NO" w:eastAsia="en-US"/>
        </w:rPr>
        <w:fldChar w:fldCharType="end"/>
      </w:r>
      <w:r w:rsidRPr="00EC1134">
        <w:rPr>
          <w:lang w:val="nb-NO" w:eastAsia="en-US"/>
        </w:rPr>
        <w:t xml:space="preserve">, ville et slikt skattegrunnlag være til gunst for de enheter som har relativt store </w:t>
      </w:r>
      <w:r w:rsidR="00015BC5" w:rsidRPr="00EC1134">
        <w:rPr>
          <w:lang w:val="nb-NO" w:eastAsia="en-US"/>
        </w:rPr>
        <w:t xml:space="preserve">prosjektinntekter </w:t>
      </w:r>
      <w:r w:rsidR="00015BC5" w:rsidRPr="00EC1134">
        <w:rPr>
          <w:lang w:val="nb-NO" w:eastAsia="en-US"/>
        </w:rPr>
        <w:softHyphen/>
        <w:t>– særlig ARENA, TIK og ØI – og til ugunst for dem som har relativt små slik</w:t>
      </w:r>
      <w:r w:rsidR="005640FC" w:rsidRPr="00EC1134">
        <w:rPr>
          <w:lang w:val="nb-NO" w:eastAsia="en-US"/>
        </w:rPr>
        <w:t>e</w:t>
      </w:r>
      <w:r w:rsidR="00015BC5" w:rsidRPr="00EC1134">
        <w:rPr>
          <w:lang w:val="nb-NO" w:eastAsia="en-US"/>
        </w:rPr>
        <w:t xml:space="preserve"> inntekter – som ISV og PSI; for ISS og SAI spiller ikke valget av skattegrunnlag noen særlig rolle.</w:t>
      </w:r>
    </w:p>
    <w:p w:rsidR="00F24234" w:rsidRPr="00EC1134" w:rsidRDefault="00F24234" w:rsidP="00F24234">
      <w:pPr>
        <w:pStyle w:val="Caption"/>
        <w:keepNext/>
        <w:rPr>
          <w:lang w:val="nb-NO"/>
        </w:rPr>
      </w:pPr>
      <w:bookmarkStart w:id="7" w:name="_Ref508019194"/>
      <w:bookmarkStart w:id="8" w:name="_Ref508019122"/>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8</w:t>
      </w:r>
      <w:r w:rsidRPr="00EC1134">
        <w:rPr>
          <w:lang w:val="nb-NO"/>
        </w:rPr>
        <w:fldChar w:fldCharType="end"/>
      </w:r>
      <w:bookmarkEnd w:id="7"/>
      <w:r w:rsidRPr="00EC1134">
        <w:rPr>
          <w:lang w:val="nb-NO"/>
        </w:rPr>
        <w:t>: Beskatning 2018, tusen kroner (totalt 86 652)</w:t>
      </w:r>
      <w:bookmarkEnd w:id="8"/>
    </w:p>
    <w:tbl>
      <w:tblPr>
        <w:tblStyle w:val="ListTable6Colorful"/>
        <w:tblW w:w="5000" w:type="pct"/>
        <w:tblLayout w:type="fixed"/>
        <w:tblLook w:val="04A0" w:firstRow="1" w:lastRow="0" w:firstColumn="1" w:lastColumn="0" w:noHBand="0" w:noVBand="1"/>
      </w:tblPr>
      <w:tblGrid>
        <w:gridCol w:w="1970"/>
        <w:gridCol w:w="3164"/>
        <w:gridCol w:w="3165"/>
      </w:tblGrid>
      <w:tr w:rsidR="00F24234" w:rsidRPr="00EC1134" w:rsidTr="005640FC">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87" w:type="pct"/>
            <w:vAlign w:val="center"/>
            <w:hideMark/>
          </w:tcPr>
          <w:p w:rsidR="00F24234" w:rsidRPr="00EC1134" w:rsidRDefault="00F24234" w:rsidP="003E432D">
            <w:pPr>
              <w:keepNext/>
              <w:keepLines/>
              <w:widowControl w:val="0"/>
              <w:jc w:val="center"/>
              <w:rPr>
                <w:rFonts w:eastAsia="Times New Roman" w:cs="Times New Roman"/>
                <w:b w:val="0"/>
                <w:bCs w:val="0"/>
                <w:color w:val="000000"/>
                <w:sz w:val="22"/>
                <w:szCs w:val="22"/>
                <w:lang w:eastAsia="nb-NO"/>
              </w:rPr>
            </w:pPr>
          </w:p>
        </w:tc>
        <w:tc>
          <w:tcPr>
            <w:tcW w:w="1906" w:type="pct"/>
            <w:vAlign w:val="center"/>
            <w:hideMark/>
          </w:tcPr>
          <w:p w:rsidR="00F24234" w:rsidRPr="00EC1134" w:rsidRDefault="00F24234" w:rsidP="003E432D">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Alle inntekter, 14%</w:t>
            </w:r>
          </w:p>
        </w:tc>
        <w:tc>
          <w:tcPr>
            <w:tcW w:w="1907" w:type="pct"/>
            <w:vAlign w:val="center"/>
            <w:hideMark/>
          </w:tcPr>
          <w:p w:rsidR="00F24234" w:rsidRPr="00EC1134" w:rsidRDefault="005640FC" w:rsidP="003E432D">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Basisinntekter</w:t>
            </w:r>
            <w:r w:rsidR="00F24234" w:rsidRPr="00EC1134">
              <w:rPr>
                <w:rFonts w:eastAsia="Times New Roman" w:cs="Times New Roman"/>
                <w:color w:val="000000"/>
                <w:sz w:val="22"/>
                <w:szCs w:val="22"/>
                <w:lang w:eastAsia="nb-NO"/>
              </w:rPr>
              <w:t>, 18%</w:t>
            </w:r>
          </w:p>
        </w:tc>
      </w:tr>
      <w:tr w:rsidR="00F24234" w:rsidRPr="00EC1134" w:rsidTr="005640F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tcPr>
          <w:p w:rsidR="00F24234" w:rsidRPr="00EC1134" w:rsidRDefault="00F24234" w:rsidP="003E432D">
            <w:pPr>
              <w:keepNext/>
              <w:keepLines/>
              <w:widowControl w:val="0"/>
              <w:rPr>
                <w:rFonts w:eastAsia="Times New Roman" w:cs="Times New Roman"/>
                <w:color w:val="000000"/>
                <w:sz w:val="22"/>
                <w:szCs w:val="22"/>
                <w:lang w:eastAsia="nb-NO"/>
              </w:rPr>
            </w:pPr>
            <w:r w:rsidRPr="00EC1134">
              <w:rPr>
                <w:rFonts w:eastAsia="Times New Roman" w:cs="Times New Roman"/>
                <w:color w:val="000000"/>
                <w:sz w:val="22"/>
                <w:szCs w:val="22"/>
                <w:lang w:eastAsia="nb-NO"/>
              </w:rPr>
              <w:t>ARENA</w:t>
            </w:r>
          </w:p>
        </w:tc>
        <w:tc>
          <w:tcPr>
            <w:tcW w:w="1906" w:type="pct"/>
            <w:vAlign w:val="center"/>
          </w:tcPr>
          <w:p w:rsidR="00F24234" w:rsidRPr="00EC1134" w:rsidRDefault="00F24234" w:rsidP="002721CC">
            <w:pPr>
              <w:keepNext/>
              <w:keepLines/>
              <w:widowControl w:val="0"/>
              <w:ind w:right="851"/>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 xml:space="preserve">2 </w:t>
            </w:r>
            <w:r w:rsidR="00D86823">
              <w:rPr>
                <w:rFonts w:eastAsia="Times New Roman" w:cs="Times New Roman"/>
                <w:color w:val="000000"/>
                <w:sz w:val="22"/>
                <w:szCs w:val="22"/>
                <w:lang w:eastAsia="nb-NO"/>
              </w:rPr>
              <w:t>598</w:t>
            </w:r>
          </w:p>
        </w:tc>
        <w:tc>
          <w:tcPr>
            <w:tcW w:w="1907" w:type="pct"/>
            <w:vAlign w:val="center"/>
          </w:tcPr>
          <w:p w:rsidR="00F24234" w:rsidRPr="00EC1134" w:rsidRDefault="00F24234" w:rsidP="00D86823">
            <w:pPr>
              <w:keepNext/>
              <w:keepLines/>
              <w:widowControl w:val="0"/>
              <w:ind w:right="851"/>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 xml:space="preserve">1 </w:t>
            </w:r>
            <w:r w:rsidR="00D86823">
              <w:rPr>
                <w:rFonts w:eastAsia="Times New Roman" w:cs="Times New Roman"/>
                <w:color w:val="000000"/>
                <w:sz w:val="22"/>
                <w:szCs w:val="22"/>
                <w:lang w:eastAsia="nb-NO"/>
              </w:rPr>
              <w:t>499</w:t>
            </w:r>
          </w:p>
        </w:tc>
      </w:tr>
      <w:tr w:rsidR="00F24234" w:rsidRPr="00EC1134" w:rsidTr="005640FC">
        <w:trPr>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hideMark/>
          </w:tcPr>
          <w:p w:rsidR="00F24234" w:rsidRPr="00EC1134" w:rsidRDefault="00F24234" w:rsidP="003E432D">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ISS</w:t>
            </w:r>
          </w:p>
        </w:tc>
        <w:tc>
          <w:tcPr>
            <w:tcW w:w="1906" w:type="pct"/>
            <w:vAlign w:val="center"/>
            <w:hideMark/>
          </w:tcPr>
          <w:p w:rsidR="00F24234" w:rsidRPr="00EC1134" w:rsidRDefault="00F24234" w:rsidP="002721CC">
            <w:pPr>
              <w:keepNext/>
              <w:keepLines/>
              <w:widowControl w:val="0"/>
              <w:ind w:right="851"/>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 xml:space="preserve">12 </w:t>
            </w:r>
            <w:r w:rsidR="00D86823">
              <w:rPr>
                <w:rFonts w:eastAsia="Times New Roman" w:cs="Times New Roman"/>
                <w:color w:val="000000"/>
                <w:sz w:val="22"/>
                <w:szCs w:val="22"/>
                <w:lang w:eastAsia="nb-NO"/>
              </w:rPr>
              <w:t>620</w:t>
            </w:r>
          </w:p>
        </w:tc>
        <w:tc>
          <w:tcPr>
            <w:tcW w:w="1907" w:type="pct"/>
            <w:vAlign w:val="center"/>
            <w:hideMark/>
          </w:tcPr>
          <w:p w:rsidR="00F24234" w:rsidRPr="00EC1134" w:rsidRDefault="00D86823" w:rsidP="00D86823">
            <w:pPr>
              <w:keepNext/>
              <w:keepLines/>
              <w:widowControl w:val="0"/>
              <w:ind w:right="851"/>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12 275</w:t>
            </w:r>
          </w:p>
        </w:tc>
      </w:tr>
      <w:tr w:rsidR="00F24234" w:rsidRPr="00EC1134" w:rsidTr="005640F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hideMark/>
          </w:tcPr>
          <w:p w:rsidR="00F24234" w:rsidRPr="00EC1134" w:rsidRDefault="00F24234" w:rsidP="003E432D">
            <w:pPr>
              <w:keepNext/>
              <w:keepLines/>
              <w:widowControl w:val="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ISV</w:t>
            </w:r>
          </w:p>
        </w:tc>
        <w:tc>
          <w:tcPr>
            <w:tcW w:w="1906" w:type="pct"/>
            <w:vAlign w:val="center"/>
            <w:hideMark/>
          </w:tcPr>
          <w:p w:rsidR="00F24234" w:rsidRPr="00EC1134" w:rsidRDefault="00D86823" w:rsidP="003E432D">
            <w:pPr>
              <w:keepNext/>
              <w:keepLines/>
              <w:widowControl w:val="0"/>
              <w:ind w:right="851"/>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11 784</w:t>
            </w:r>
          </w:p>
        </w:tc>
        <w:tc>
          <w:tcPr>
            <w:tcW w:w="1907" w:type="pct"/>
            <w:vAlign w:val="center"/>
            <w:hideMark/>
          </w:tcPr>
          <w:p w:rsidR="00F24234" w:rsidRPr="00EC1134" w:rsidRDefault="00D86823" w:rsidP="003E432D">
            <w:pPr>
              <w:keepNext/>
              <w:keepLines/>
              <w:widowControl w:val="0"/>
              <w:ind w:right="851"/>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12 895</w:t>
            </w:r>
          </w:p>
        </w:tc>
      </w:tr>
      <w:tr w:rsidR="00F24234" w:rsidRPr="00EC1134" w:rsidTr="005640FC">
        <w:trPr>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tcPr>
          <w:p w:rsidR="00F24234" w:rsidRPr="00EC1134" w:rsidRDefault="00F24234" w:rsidP="003E432D">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PSI</w:t>
            </w:r>
          </w:p>
        </w:tc>
        <w:tc>
          <w:tcPr>
            <w:tcW w:w="1906" w:type="pct"/>
            <w:vAlign w:val="center"/>
          </w:tcPr>
          <w:p w:rsidR="00F24234" w:rsidRPr="00EC1134" w:rsidRDefault="00D86823" w:rsidP="003E432D">
            <w:pPr>
              <w:keepNext/>
              <w:keepLines/>
              <w:widowControl w:val="0"/>
              <w:ind w:right="851"/>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36 146</w:t>
            </w:r>
          </w:p>
        </w:tc>
        <w:tc>
          <w:tcPr>
            <w:tcW w:w="1907" w:type="pct"/>
            <w:vAlign w:val="center"/>
          </w:tcPr>
          <w:p w:rsidR="00F24234" w:rsidRPr="00EC1134" w:rsidRDefault="00D86823" w:rsidP="003E432D">
            <w:pPr>
              <w:keepNext/>
              <w:keepLines/>
              <w:widowControl w:val="0"/>
              <w:ind w:right="851"/>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39 227</w:t>
            </w:r>
          </w:p>
        </w:tc>
      </w:tr>
      <w:tr w:rsidR="00F24234" w:rsidRPr="00EC1134" w:rsidTr="005640F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tcPr>
          <w:p w:rsidR="00F24234" w:rsidRPr="00EC1134" w:rsidRDefault="00F24234" w:rsidP="003E432D">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SAI</w:t>
            </w:r>
          </w:p>
        </w:tc>
        <w:tc>
          <w:tcPr>
            <w:tcW w:w="1906" w:type="pct"/>
            <w:vAlign w:val="center"/>
          </w:tcPr>
          <w:p w:rsidR="00F24234" w:rsidRPr="00EC1134" w:rsidRDefault="00D86823" w:rsidP="003E432D">
            <w:pPr>
              <w:keepNext/>
              <w:keepLines/>
              <w:widowControl w:val="0"/>
              <w:ind w:right="851"/>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5 724</w:t>
            </w:r>
          </w:p>
        </w:tc>
        <w:tc>
          <w:tcPr>
            <w:tcW w:w="1907" w:type="pct"/>
            <w:vAlign w:val="center"/>
          </w:tcPr>
          <w:p w:rsidR="00F24234" w:rsidRPr="00EC1134" w:rsidRDefault="00D86823" w:rsidP="003E432D">
            <w:pPr>
              <w:keepNext/>
              <w:keepLines/>
              <w:widowControl w:val="0"/>
              <w:ind w:right="851"/>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5 588</w:t>
            </w:r>
          </w:p>
        </w:tc>
      </w:tr>
      <w:tr w:rsidR="00F24234" w:rsidRPr="00EC1134" w:rsidTr="005640FC">
        <w:trPr>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tcPr>
          <w:p w:rsidR="00F24234" w:rsidRPr="00EC1134" w:rsidRDefault="00F24234" w:rsidP="003E432D">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TIK</w:t>
            </w:r>
          </w:p>
        </w:tc>
        <w:tc>
          <w:tcPr>
            <w:tcW w:w="1906" w:type="pct"/>
            <w:vAlign w:val="center"/>
          </w:tcPr>
          <w:p w:rsidR="00F24234" w:rsidRPr="00EC1134" w:rsidRDefault="00D86823" w:rsidP="003E432D">
            <w:pPr>
              <w:keepNext/>
              <w:keepLines/>
              <w:widowControl w:val="0"/>
              <w:ind w:right="851"/>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3 759</w:t>
            </w:r>
          </w:p>
        </w:tc>
        <w:tc>
          <w:tcPr>
            <w:tcW w:w="1907" w:type="pct"/>
            <w:vAlign w:val="center"/>
          </w:tcPr>
          <w:p w:rsidR="00F24234" w:rsidRPr="00EC1134" w:rsidRDefault="00D86823" w:rsidP="003E432D">
            <w:pPr>
              <w:keepNext/>
              <w:keepLines/>
              <w:widowControl w:val="0"/>
              <w:ind w:right="851"/>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2 598</w:t>
            </w:r>
          </w:p>
        </w:tc>
      </w:tr>
      <w:tr w:rsidR="00F24234" w:rsidRPr="00EC1134" w:rsidTr="005640F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87" w:type="pct"/>
            <w:vAlign w:val="center"/>
            <w:hideMark/>
          </w:tcPr>
          <w:p w:rsidR="00F24234" w:rsidRPr="00EC1134" w:rsidRDefault="00F24234" w:rsidP="003E432D">
            <w:pPr>
              <w:keepNext/>
              <w:keepLines/>
              <w:widowControl w:val="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ØI</w:t>
            </w:r>
          </w:p>
        </w:tc>
        <w:tc>
          <w:tcPr>
            <w:tcW w:w="1906" w:type="pct"/>
            <w:vAlign w:val="center"/>
            <w:hideMark/>
          </w:tcPr>
          <w:p w:rsidR="00F24234" w:rsidRPr="00EC1134" w:rsidRDefault="00D86823" w:rsidP="003E432D">
            <w:pPr>
              <w:keepNext/>
              <w:keepLines/>
              <w:widowControl w:val="0"/>
              <w:ind w:right="851"/>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13 383</w:t>
            </w:r>
          </w:p>
        </w:tc>
        <w:tc>
          <w:tcPr>
            <w:tcW w:w="1907" w:type="pct"/>
            <w:vAlign w:val="center"/>
            <w:hideMark/>
          </w:tcPr>
          <w:p w:rsidR="00F24234" w:rsidRPr="00EC1134" w:rsidRDefault="00D86823" w:rsidP="003E432D">
            <w:pPr>
              <w:keepNext/>
              <w:keepLines/>
              <w:widowControl w:val="0"/>
              <w:ind w:right="851"/>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Pr>
                <w:rFonts w:eastAsia="Times New Roman" w:cs="Times New Roman"/>
                <w:color w:val="000000"/>
                <w:sz w:val="22"/>
                <w:szCs w:val="22"/>
                <w:lang w:eastAsia="nb-NO"/>
              </w:rPr>
              <w:t>11 935</w:t>
            </w:r>
          </w:p>
        </w:tc>
      </w:tr>
    </w:tbl>
    <w:p w:rsidR="00F24234" w:rsidRPr="004A595A" w:rsidRDefault="00652CEF" w:rsidP="00F24234">
      <w:pPr>
        <w:pStyle w:val="BodyText"/>
        <w:rPr>
          <w:sz w:val="18"/>
          <w:lang w:val="nb-NO"/>
        </w:rPr>
      </w:pPr>
      <w:r w:rsidRPr="004A595A">
        <w:rPr>
          <w:sz w:val="18"/>
          <w:lang w:val="nb-NO"/>
        </w:rPr>
        <w:t>Basisinntekter er tildelingen i ny modell. Alle inntekter inkluderer eksterne inntekter. For eksterne inntekter</w:t>
      </w:r>
      <w:r>
        <w:rPr>
          <w:sz w:val="18"/>
          <w:lang w:val="nb-NO"/>
        </w:rPr>
        <w:t xml:space="preserve"> 2018</w:t>
      </w:r>
      <w:r w:rsidRPr="004A595A">
        <w:rPr>
          <w:sz w:val="18"/>
          <w:lang w:val="nb-NO"/>
        </w:rPr>
        <w:t xml:space="preserve"> er det benyttet gjennomsnittlig inntekt 2014-2016, fratrukket viderefordeling av midler til partnere</w:t>
      </w:r>
      <w:r>
        <w:rPr>
          <w:sz w:val="18"/>
          <w:lang w:val="nb-NO"/>
        </w:rPr>
        <w:t>.</w:t>
      </w:r>
    </w:p>
    <w:p w:rsidR="00F24234" w:rsidRPr="00EC1134" w:rsidRDefault="005640FC" w:rsidP="00F24234">
      <w:pPr>
        <w:pStyle w:val="BodyText"/>
        <w:rPr>
          <w:lang w:val="nb-NO" w:eastAsia="en-US"/>
        </w:rPr>
      </w:pPr>
      <w:r w:rsidRPr="00EC1134">
        <w:rPr>
          <w:lang w:val="nb-NO" w:eastAsia="en-US"/>
        </w:rPr>
        <w:t>Fakultet yter tjenester på mange områder – herunder til søknader om, og administrasjon av, eksterne prosjekter – og det er derfor vanskelig å se en begrunnelse for å holde noen inntekter utenom.</w:t>
      </w:r>
    </w:p>
    <w:p w:rsidR="00F24234" w:rsidRPr="00EC1134" w:rsidRDefault="002B02F9" w:rsidP="00F24234">
      <w:pPr>
        <w:pStyle w:val="BodyText"/>
        <w:rPr>
          <w:lang w:val="nb-NO" w:eastAsia="en-US"/>
        </w:rPr>
      </w:pPr>
      <w:r>
        <w:rPr>
          <w:b/>
          <w:lang w:val="nb-NO" w:eastAsia="en-US"/>
        </w:rPr>
        <w:t>Foreløpig k</w:t>
      </w:r>
      <w:r w:rsidR="00F24234" w:rsidRPr="00EC1134">
        <w:rPr>
          <w:b/>
          <w:lang w:val="nb-NO" w:eastAsia="en-US"/>
        </w:rPr>
        <w:t>onklusjon:</w:t>
      </w:r>
      <w:r w:rsidR="00F24234" w:rsidRPr="00EC1134">
        <w:rPr>
          <w:lang w:val="nb-NO" w:eastAsia="en-US"/>
        </w:rPr>
        <w:t xml:space="preserve"> Alle inntekter beskattes med samme sats for å finansiere fakultetsadministrasjonen og fakultetsstyrets satsninger. </w:t>
      </w:r>
    </w:p>
    <w:p w:rsidR="00D971A4" w:rsidRPr="00EC1134" w:rsidRDefault="00D971A4" w:rsidP="00D971A4">
      <w:pPr>
        <w:pStyle w:val="Heading2"/>
      </w:pPr>
      <w:r w:rsidRPr="00EC1134">
        <w:t>Utjevning over tid</w:t>
      </w:r>
    </w:p>
    <w:p w:rsidR="00D971A4" w:rsidRPr="00EC1134" w:rsidRDefault="00663FC6" w:rsidP="00D971A4">
      <w:pPr>
        <w:pStyle w:val="BodyText"/>
        <w:rPr>
          <w:lang w:val="nb-NO"/>
        </w:rPr>
      </w:pPr>
      <w:r w:rsidRPr="00EC1134">
        <w:rPr>
          <w:lang w:val="nb-NO"/>
        </w:rPr>
        <w:t xml:space="preserve">I dagens modell "glattes" studiepoengproduksjonen over tre år, i den forstand at studiepoenginntektene er basert på den gjennomsnittlige studiepoengproduksjonen for </w:t>
      </w:r>
      <w:r w:rsidR="007A1DC8" w:rsidRPr="00EC1134">
        <w:rPr>
          <w:lang w:val="nb-NO"/>
        </w:rPr>
        <w:t>tre foregående år (inntektene for 2018 er således basert på tall for årene 2014 til 2016).</w:t>
      </w:r>
    </w:p>
    <w:p w:rsidR="007A1DC8" w:rsidRPr="00EC1134" w:rsidRDefault="007A1DC8" w:rsidP="00D971A4">
      <w:pPr>
        <w:pStyle w:val="BodyText"/>
        <w:rPr>
          <w:lang w:val="nb-NO"/>
        </w:rPr>
      </w:pPr>
      <w:r w:rsidRPr="00EC1134">
        <w:rPr>
          <w:lang w:val="nb-NO"/>
        </w:rPr>
        <w:t>En slik glatting reduserer betydningen av utslag i det enkelte år, og bidrar dermed til større forutsigbarhet. De økonomiske betydningen av dette er riktignok begrenset, gitt enhetenes frihet til å overføre over- og underskudd fra et</w:t>
      </w:r>
      <w:r w:rsidR="004F432E" w:rsidRPr="00EC1134">
        <w:rPr>
          <w:lang w:val="nb-NO"/>
        </w:rPr>
        <w:t>t</w:t>
      </w:r>
      <w:r w:rsidRPr="00EC1134">
        <w:rPr>
          <w:lang w:val="nb-NO"/>
        </w:rPr>
        <w:t xml:space="preserve"> år til et annet.</w:t>
      </w:r>
    </w:p>
    <w:p w:rsidR="007A1DC8" w:rsidRPr="00EC1134" w:rsidRDefault="007A1DC8" w:rsidP="00D971A4">
      <w:pPr>
        <w:pStyle w:val="BodyText"/>
        <w:rPr>
          <w:lang w:val="nb-NO"/>
        </w:rPr>
      </w:pPr>
      <w:r w:rsidRPr="00EC1134">
        <w:rPr>
          <w:lang w:val="nb-NO"/>
        </w:rPr>
        <w:t>Samtidig innebærer glatting at det tar tid før enhetene høster resultatene av sin innsats. For eksempel vil en instituttleder ikke få gleden å se den økonomiske virkningen av en vellykket innsats for å øke resultatene i inneværende lederperiode.</w:t>
      </w:r>
    </w:p>
    <w:p w:rsidR="005640FC" w:rsidRPr="00EC1134" w:rsidRDefault="004F432E" w:rsidP="00D971A4">
      <w:pPr>
        <w:pStyle w:val="BodyText"/>
        <w:rPr>
          <w:lang w:val="nb-NO"/>
        </w:rPr>
      </w:pPr>
      <w:r w:rsidRPr="00EC1134">
        <w:rPr>
          <w:lang w:val="nb-NO"/>
        </w:rPr>
        <w:t xml:space="preserve">Når det gjelder tallene for studieproduksjonen, benytter universitetet sentralt glattede tall. Det vil derfor være visse praktiske problemer om fakultetet skulle benytte tall for enkeltår, fordi tallgrunnlaget kan avvike. Uansett vil man måtte basere seg på tall for </w:t>
      </w:r>
      <w:r w:rsidR="001F093A" w:rsidRPr="00EC1134">
        <w:rPr>
          <w:lang w:val="nb-NO"/>
        </w:rPr>
        <w:t>to år tilbake, fordi siste års tall ikke er tilgjengelig når budsjettene lages (inntektene for 2018 må</w:t>
      </w:r>
      <w:r w:rsidR="005640FC" w:rsidRPr="00EC1134">
        <w:rPr>
          <w:lang w:val="nb-NO"/>
        </w:rPr>
        <w:t>tte</w:t>
      </w:r>
      <w:r w:rsidR="001F093A" w:rsidRPr="00EC1134">
        <w:rPr>
          <w:lang w:val="nb-NO"/>
        </w:rPr>
        <w:t xml:space="preserve"> således baseres på tall for 2016).</w:t>
      </w:r>
      <w:r w:rsidR="004B0C99" w:rsidRPr="00EC1134">
        <w:rPr>
          <w:lang w:val="nb-NO"/>
        </w:rPr>
        <w:t xml:space="preserve"> Det foreslås derfor at fakultetet fortsatt legge glattede tall til grunn, på samme måte som universitetet sentralt.</w:t>
      </w:r>
    </w:p>
    <w:p w:rsidR="007A1DC8" w:rsidRPr="00EC1134" w:rsidRDefault="002B02F9" w:rsidP="00D971A4">
      <w:pPr>
        <w:pStyle w:val="BodyText"/>
        <w:rPr>
          <w:lang w:val="nb-NO"/>
        </w:rPr>
      </w:pPr>
      <w:r>
        <w:rPr>
          <w:b/>
          <w:lang w:val="nb-NO"/>
        </w:rPr>
        <w:t>Foreløpig k</w:t>
      </w:r>
      <w:r w:rsidR="005640FC" w:rsidRPr="00EC1134">
        <w:rPr>
          <w:b/>
          <w:lang w:val="nb-NO"/>
        </w:rPr>
        <w:t>onklusjon:</w:t>
      </w:r>
      <w:r w:rsidR="005640FC" w:rsidRPr="00EC1134">
        <w:rPr>
          <w:lang w:val="nb-NO"/>
        </w:rPr>
        <w:t xml:space="preserve"> </w:t>
      </w:r>
      <w:r w:rsidR="004B0C99" w:rsidRPr="00EC1134">
        <w:rPr>
          <w:lang w:val="nb-NO"/>
        </w:rPr>
        <w:t>F</w:t>
      </w:r>
      <w:r w:rsidR="001F093A" w:rsidRPr="00EC1134">
        <w:rPr>
          <w:lang w:val="nb-NO"/>
        </w:rPr>
        <w:t xml:space="preserve">akultetet </w:t>
      </w:r>
      <w:r w:rsidR="007557C4">
        <w:rPr>
          <w:lang w:val="nb-NO"/>
        </w:rPr>
        <w:t xml:space="preserve">vil </w:t>
      </w:r>
      <w:r w:rsidR="001F093A" w:rsidRPr="00EC1134">
        <w:rPr>
          <w:lang w:val="nb-NO"/>
        </w:rPr>
        <w:t>fortsatt legge glattede tall til grunn</w:t>
      </w:r>
      <w:r w:rsidR="004B0C99" w:rsidRPr="00EC1134">
        <w:rPr>
          <w:lang w:val="nb-NO"/>
        </w:rPr>
        <w:t xml:space="preserve"> for studiepoengproduksjon</w:t>
      </w:r>
      <w:r w:rsidR="001F093A" w:rsidRPr="00EC1134">
        <w:rPr>
          <w:lang w:val="nb-NO"/>
        </w:rPr>
        <w:t>.</w:t>
      </w:r>
    </w:p>
    <w:p w:rsidR="00D971A4" w:rsidRPr="00EC1134" w:rsidRDefault="00D971A4" w:rsidP="00D971A4">
      <w:pPr>
        <w:pStyle w:val="Heading2"/>
      </w:pPr>
      <w:r w:rsidRPr="00EC1134">
        <w:t>Opprydning og forenkling</w:t>
      </w:r>
    </w:p>
    <w:p w:rsidR="00D971A4" w:rsidRPr="00EC1134" w:rsidRDefault="001F093A" w:rsidP="001F093A">
      <w:pPr>
        <w:pStyle w:val="BodyText"/>
        <w:rPr>
          <w:lang w:val="nb-NO"/>
        </w:rPr>
      </w:pPr>
      <w:r w:rsidRPr="00EC1134">
        <w:rPr>
          <w:lang w:val="nb-NO"/>
        </w:rPr>
        <w:t>I dagens budsjettmodell er det en rekke spesialordninger, der begrunnelsen for ordningene ikke lenger er aktuell eller hensiktsmessig. Det gjelder for eksempel de ulike skattesatsene som er omtalt ovenfor. Det finnes også en rekke særskilte overføringer og betalinger, som internbetalingen for IT-, personal- og økonomitjenestene,  "disiplintillegget" til ISS (formodentlig fra tiden da to institutter ble slått sammen til dagens institutt), IT/AV-overføringene til PSI, , samt NFR-, EU- og publikasjonsbidraget og "ødemarkstillegget" til ARENA.</w:t>
      </w:r>
    </w:p>
    <w:p w:rsidR="001F093A" w:rsidRPr="00EC1134" w:rsidRDefault="001F093A" w:rsidP="001F093A">
      <w:pPr>
        <w:pStyle w:val="BodyText"/>
        <w:rPr>
          <w:lang w:val="nb-NO"/>
        </w:rPr>
      </w:pPr>
      <w:r w:rsidRPr="00EC1134">
        <w:rPr>
          <w:lang w:val="nb-NO"/>
        </w:rPr>
        <w:t>Når det gjelder skattesatsene, foreslås det som nevnt at disse harmoniseres. Når det gjelder de særskilte overføringene og betalingene foreslås det at disse fjernes og innbakes i de tilpasningsleddene som innføres for å gjøre overgange</w:t>
      </w:r>
      <w:r w:rsidR="004B0C99" w:rsidRPr="00EC1134">
        <w:rPr>
          <w:lang w:val="nb-NO"/>
        </w:rPr>
        <w:t>n til ny budsjettmodell nøytral (se nedenfor); dette har ingen økonomisk effekt for de enhetene det gjelder.</w:t>
      </w:r>
    </w:p>
    <w:p w:rsidR="004B0C99" w:rsidRPr="00EC1134" w:rsidRDefault="002B02F9" w:rsidP="001F093A">
      <w:pPr>
        <w:pStyle w:val="BodyText"/>
        <w:rPr>
          <w:lang w:val="nb-NO"/>
        </w:rPr>
      </w:pPr>
      <w:r>
        <w:rPr>
          <w:b/>
          <w:lang w:val="nb-NO"/>
        </w:rPr>
        <w:t>Foreløpig k</w:t>
      </w:r>
      <w:r w:rsidR="004B0C99" w:rsidRPr="00EC1134">
        <w:rPr>
          <w:b/>
          <w:lang w:val="nb-NO"/>
        </w:rPr>
        <w:t>onklusjon:</w:t>
      </w:r>
      <w:r w:rsidR="004B0C99" w:rsidRPr="00EC1134">
        <w:rPr>
          <w:lang w:val="nb-NO"/>
        </w:rPr>
        <w:t xml:space="preserve"> Særskilte overføringer og betalinger innbakes i tilpasningsledd.</w:t>
      </w:r>
    </w:p>
    <w:p w:rsidR="00D971A4" w:rsidRPr="00EC1134" w:rsidRDefault="00D971A4" w:rsidP="00D971A4">
      <w:pPr>
        <w:pStyle w:val="Heading2"/>
      </w:pPr>
      <w:r w:rsidRPr="00EC1134">
        <w:t>Samsvar mellom UiO- og SV-fordeling</w:t>
      </w:r>
    </w:p>
    <w:p w:rsidR="00D971A4" w:rsidRPr="00EC1134" w:rsidRDefault="001F093A" w:rsidP="00D971A4">
      <w:pPr>
        <w:pStyle w:val="BodyText"/>
        <w:rPr>
          <w:lang w:val="nb-NO"/>
        </w:rPr>
      </w:pPr>
      <w:r w:rsidRPr="00EC1134">
        <w:rPr>
          <w:lang w:val="nb-NO"/>
        </w:rPr>
        <w:t xml:space="preserve">Som forklart i forrige kapittel, er det en rekke forskjeller mellom modellene som benyttes for å fordele midler mellom fakultetene og mellom enhetene på SV-fakultetet. Det gjelder blant annet bruken av henholdsvis studieplasser og plantall, internbetalingen for fakultetstjenester og tilskuddene til </w:t>
      </w:r>
      <w:r w:rsidR="00D971A4" w:rsidRPr="00EC1134">
        <w:rPr>
          <w:lang w:val="nb-NO"/>
        </w:rPr>
        <w:t>husleie</w:t>
      </w:r>
      <w:r w:rsidRPr="00EC1134">
        <w:rPr>
          <w:lang w:val="nb-NO"/>
        </w:rPr>
        <w:t>. SV-fakultetet har heller ikke innført den nye resultatindikatoren for ferdige kandidater.</w:t>
      </w:r>
    </w:p>
    <w:p w:rsidR="00D971A4" w:rsidRPr="00EC1134" w:rsidRDefault="001F093A" w:rsidP="00D971A4">
      <w:pPr>
        <w:pStyle w:val="BodyText"/>
        <w:rPr>
          <w:lang w:val="nb-NO"/>
        </w:rPr>
      </w:pPr>
      <w:r w:rsidRPr="00EC1134">
        <w:rPr>
          <w:lang w:val="nb-NO"/>
        </w:rPr>
        <w:t xml:space="preserve">Som hovedregel bør fakultetets modell speile universitetets; det bør bare gjøres avvik der </w:t>
      </w:r>
      <w:r w:rsidR="004C7AFC" w:rsidRPr="00EC1134">
        <w:rPr>
          <w:lang w:val="nb-NO"/>
        </w:rPr>
        <w:t xml:space="preserve">det foreligger en eksplisitt begrunnelse. De forslagene som </w:t>
      </w:r>
      <w:r w:rsidR="00A574D4" w:rsidRPr="00EC1134">
        <w:rPr>
          <w:lang w:val="nb-NO"/>
        </w:rPr>
        <w:t>er omtalt ovenfor, bidrar til større samsvar mellom de to modellene. I tillegg bør det tas inn en resultatindikator for kandidatproduksjon.</w:t>
      </w:r>
    </w:p>
    <w:p w:rsidR="004B0C99" w:rsidRPr="00EC1134" w:rsidRDefault="002B02F9" w:rsidP="00D971A4">
      <w:pPr>
        <w:pStyle w:val="BodyText"/>
        <w:rPr>
          <w:lang w:val="nb-NO"/>
        </w:rPr>
      </w:pPr>
      <w:r>
        <w:rPr>
          <w:b/>
          <w:lang w:val="nb-NO"/>
        </w:rPr>
        <w:t xml:space="preserve">Foreløpig </w:t>
      </w:r>
      <w:r w:rsidR="002D0F49">
        <w:rPr>
          <w:b/>
          <w:lang w:val="nb-NO"/>
        </w:rPr>
        <w:t>k</w:t>
      </w:r>
      <w:r w:rsidR="002D0F49" w:rsidRPr="00EC1134">
        <w:rPr>
          <w:b/>
          <w:lang w:val="nb-NO"/>
        </w:rPr>
        <w:t xml:space="preserve">onklusjon: </w:t>
      </w:r>
      <w:r w:rsidR="002D0F49" w:rsidRPr="00EC1134">
        <w:rPr>
          <w:lang w:val="nb-NO"/>
        </w:rPr>
        <w:t>Fakultetet</w:t>
      </w:r>
      <w:r w:rsidR="004B0C99" w:rsidRPr="00EC1134">
        <w:rPr>
          <w:lang w:val="nb-NO"/>
        </w:rPr>
        <w:t xml:space="preserve"> innfører resultatindikator for kandidatproduksjon.</w:t>
      </w:r>
    </w:p>
    <w:p w:rsidR="00C73B4C" w:rsidRPr="00EC1134" w:rsidRDefault="00735A32" w:rsidP="00C73B4C">
      <w:pPr>
        <w:pStyle w:val="Heading1"/>
      </w:pPr>
      <w:r w:rsidRPr="00EC1134">
        <w:t>Beregninger</w:t>
      </w:r>
    </w:p>
    <w:p w:rsidR="00CB66AF" w:rsidRPr="00EC1134" w:rsidRDefault="004B0C99" w:rsidP="00AC0AE8">
      <w:pPr>
        <w:pStyle w:val="BodyText"/>
        <w:rPr>
          <w:lang w:val="nb-NO" w:eastAsia="en-US"/>
        </w:rPr>
      </w:pPr>
      <w:r w:rsidRPr="00EC1134">
        <w:rPr>
          <w:lang w:val="nb-NO" w:eastAsia="en-US"/>
        </w:rPr>
        <w:t>For å anskueliggjøre virkning av å innføre en ny fordelingsmodell, presenteres det nedenfor forskjellige beregninger</w:t>
      </w:r>
      <w:r w:rsidR="00C73B4C" w:rsidRPr="00EC1134">
        <w:rPr>
          <w:lang w:val="nb-NO" w:eastAsia="en-US"/>
        </w:rPr>
        <w:t>.</w:t>
      </w:r>
    </w:p>
    <w:p w:rsidR="00BA2936" w:rsidRPr="00EC1134" w:rsidRDefault="00BA2936" w:rsidP="00BA2936">
      <w:pPr>
        <w:pStyle w:val="BodyText"/>
        <w:rPr>
          <w:lang w:val="nb-NO" w:eastAsia="en-US"/>
        </w:rPr>
      </w:pPr>
      <w:r w:rsidRPr="00EC1134">
        <w:rPr>
          <w:lang w:val="nb-NO" w:eastAsia="en-US"/>
        </w:rPr>
        <w:t xml:space="preserve">For å sammenligne gammel og ny fordelingsmodell, er det foretatt beregninger av hvordan forskjellige inntektskomponenter vil gi seg utslag i enhetenes inntekter. Resultatene er oppsummert i </w:t>
      </w:r>
      <w:r w:rsidRPr="00EC1134">
        <w:rPr>
          <w:lang w:val="nb-NO" w:eastAsia="en-US"/>
        </w:rPr>
        <w:fldChar w:fldCharType="begin"/>
      </w:r>
      <w:r w:rsidRPr="00EC1134">
        <w:rPr>
          <w:lang w:val="nb-NO" w:eastAsia="en-US"/>
        </w:rPr>
        <w:instrText xml:space="preserve"> REF _Ref508021653 \h \*Lower </w:instrText>
      </w:r>
      <w:r w:rsidRPr="00EC1134">
        <w:rPr>
          <w:lang w:val="nb-NO" w:eastAsia="en-US"/>
        </w:rPr>
      </w:r>
      <w:r w:rsidRPr="00EC1134">
        <w:rPr>
          <w:lang w:val="nb-NO" w:eastAsia="en-US"/>
        </w:rPr>
        <w:fldChar w:fldCharType="separate"/>
      </w:r>
      <w:r w:rsidR="00B759DD" w:rsidRPr="00EC1134">
        <w:rPr>
          <w:lang w:val="nb-NO"/>
        </w:rPr>
        <w:t xml:space="preserve">tabell </w:t>
      </w:r>
      <w:r w:rsidR="00B759DD">
        <w:rPr>
          <w:noProof/>
          <w:lang w:val="nb-NO"/>
        </w:rPr>
        <w:t>9</w:t>
      </w:r>
      <w:r w:rsidRPr="00EC1134">
        <w:rPr>
          <w:lang w:val="nb-NO" w:eastAsia="en-US"/>
        </w:rPr>
        <w:fldChar w:fldCharType="end"/>
      </w:r>
      <w:r w:rsidRPr="00EC1134">
        <w:rPr>
          <w:lang w:val="nb-NO" w:eastAsia="en-US"/>
        </w:rPr>
        <w:t>.</w:t>
      </w:r>
    </w:p>
    <w:p w:rsidR="00BA2936" w:rsidRPr="00EC1134" w:rsidRDefault="00BA2936" w:rsidP="00BA2936">
      <w:pPr>
        <w:pStyle w:val="Caption"/>
        <w:keepNext/>
        <w:rPr>
          <w:lang w:val="nb-NO"/>
        </w:rPr>
      </w:pPr>
      <w:bookmarkStart w:id="9" w:name="_Ref508021653"/>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9</w:t>
      </w:r>
      <w:r w:rsidRPr="00EC1134">
        <w:rPr>
          <w:lang w:val="nb-NO"/>
        </w:rPr>
        <w:fldChar w:fldCharType="end"/>
      </w:r>
      <w:bookmarkEnd w:id="9"/>
      <w:r w:rsidRPr="00EC1134">
        <w:rPr>
          <w:lang w:val="nb-NO"/>
        </w:rPr>
        <w:t>: Inntektsvirkninger med dagens og ny modell, tusen kroner</w:t>
      </w:r>
    </w:p>
    <w:tbl>
      <w:tblPr>
        <w:tblStyle w:val="ListTable6Colorful"/>
        <w:tblW w:w="4998" w:type="pct"/>
        <w:tblLayout w:type="fixed"/>
        <w:tblLook w:val="04A0" w:firstRow="1" w:lastRow="0" w:firstColumn="1" w:lastColumn="0" w:noHBand="0" w:noVBand="1"/>
      </w:tblPr>
      <w:tblGrid>
        <w:gridCol w:w="3828"/>
        <w:gridCol w:w="2233"/>
        <w:gridCol w:w="2235"/>
      </w:tblGrid>
      <w:tr w:rsidR="00BA2936" w:rsidRPr="00EC1134" w:rsidTr="00400389">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07" w:type="pct"/>
            <w:vAlign w:val="center"/>
            <w:hideMark/>
          </w:tcPr>
          <w:p w:rsidR="00BA2936" w:rsidRPr="00EC1134" w:rsidRDefault="00BA2936" w:rsidP="00400389">
            <w:pPr>
              <w:keepNext/>
              <w:keepLines/>
              <w:widowControl w:val="0"/>
              <w:jc w:val="center"/>
              <w:rPr>
                <w:rFonts w:eastAsia="Times New Roman" w:cs="Times New Roman"/>
                <w:b w:val="0"/>
                <w:bCs w:val="0"/>
                <w:color w:val="000000"/>
                <w:sz w:val="22"/>
                <w:szCs w:val="22"/>
                <w:lang w:eastAsia="nb-NO"/>
              </w:rPr>
            </w:pPr>
          </w:p>
        </w:tc>
        <w:tc>
          <w:tcPr>
            <w:tcW w:w="1346" w:type="pct"/>
            <w:vAlign w:val="center"/>
          </w:tcPr>
          <w:p w:rsidR="00BA2936" w:rsidRPr="00EC1134" w:rsidRDefault="00BA2936" w:rsidP="00400389">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Ny modell</w:t>
            </w:r>
          </w:p>
        </w:tc>
        <w:tc>
          <w:tcPr>
            <w:tcW w:w="1347" w:type="pct"/>
            <w:vAlign w:val="center"/>
            <w:hideMark/>
          </w:tcPr>
          <w:p w:rsidR="00BA2936" w:rsidRPr="00EC1134" w:rsidRDefault="00BA2936" w:rsidP="00400389">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Dagens modell</w:t>
            </w:r>
          </w:p>
        </w:tc>
      </w:tr>
      <w:tr w:rsidR="00BA2936" w:rsidRPr="00EC1134" w:rsidTr="004003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07" w:type="pct"/>
            <w:vAlign w:val="center"/>
            <w:hideMark/>
          </w:tcPr>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Studiepoeng, bachelor (100)</w:t>
            </w:r>
          </w:p>
        </w:tc>
        <w:tc>
          <w:tcPr>
            <w:tcW w:w="1346" w:type="pct"/>
            <w:vAlign w:val="center"/>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2 000</w:t>
            </w:r>
          </w:p>
        </w:tc>
        <w:tc>
          <w:tcPr>
            <w:tcW w:w="1347" w:type="pct"/>
            <w:vAlign w:val="center"/>
            <w:hideMark/>
          </w:tcPr>
          <w:p w:rsidR="00BA2936" w:rsidRPr="00EC1134" w:rsidRDefault="0092074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b-NO"/>
              </w:rPr>
            </w:pPr>
            <w:r>
              <w:rPr>
                <w:rFonts w:eastAsia="Times New Roman" w:cs="Times New Roman"/>
                <w:sz w:val="22"/>
                <w:szCs w:val="22"/>
                <w:lang w:eastAsia="nb-NO"/>
              </w:rPr>
              <w:t>1 69</w:t>
            </w:r>
            <w:r w:rsidR="00BA2936" w:rsidRPr="00EC1134">
              <w:rPr>
                <w:rFonts w:eastAsia="Times New Roman" w:cs="Times New Roman"/>
                <w:sz w:val="22"/>
                <w:szCs w:val="22"/>
                <w:lang w:eastAsia="nb-NO"/>
              </w:rPr>
              <w:t>0</w:t>
            </w:r>
          </w:p>
        </w:tc>
      </w:tr>
      <w:tr w:rsidR="00BA2936" w:rsidRPr="00EC1134" w:rsidTr="00400389">
        <w:trPr>
          <w:trHeight w:val="360"/>
        </w:trPr>
        <w:tc>
          <w:tcPr>
            <w:cnfStyle w:val="001000000000" w:firstRow="0" w:lastRow="0" w:firstColumn="1" w:lastColumn="0" w:oddVBand="0" w:evenVBand="0" w:oddHBand="0" w:evenHBand="0" w:firstRowFirstColumn="0" w:firstRowLastColumn="0" w:lastRowFirstColumn="0" w:lastRowLastColumn="0"/>
            <w:tcW w:w="2307" w:type="pct"/>
            <w:vAlign w:val="center"/>
            <w:hideMark/>
          </w:tcPr>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Studiepoeng, master (100)</w:t>
            </w:r>
          </w:p>
        </w:tc>
        <w:tc>
          <w:tcPr>
            <w:tcW w:w="1346" w:type="pct"/>
            <w:vAlign w:val="center"/>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3 256</w:t>
            </w:r>
          </w:p>
        </w:tc>
        <w:tc>
          <w:tcPr>
            <w:tcW w:w="1347" w:type="pct"/>
            <w:vAlign w:val="center"/>
            <w:hideMark/>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3 560</w:t>
            </w:r>
          </w:p>
        </w:tc>
      </w:tr>
      <w:tr w:rsidR="00BA2936" w:rsidRPr="00EC1134" w:rsidTr="004003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07" w:type="pct"/>
            <w:vAlign w:val="center"/>
          </w:tcPr>
          <w:p w:rsidR="00BA2936" w:rsidRPr="00EC1134" w:rsidRDefault="00BA2936" w:rsidP="00400389">
            <w:pPr>
              <w:keepNext/>
              <w:keepLines/>
              <w:widowControl w:val="0"/>
              <w:rPr>
                <w:rFonts w:eastAsia="Times New Roman" w:cs="Times New Roman"/>
                <w:color w:val="000000"/>
                <w:sz w:val="22"/>
                <w:szCs w:val="22"/>
                <w:lang w:eastAsia="nb-NO"/>
              </w:rPr>
            </w:pPr>
            <w:r w:rsidRPr="00EC1134">
              <w:rPr>
                <w:rFonts w:eastAsia="Times New Roman" w:cs="Times New Roman"/>
                <w:color w:val="000000"/>
                <w:sz w:val="22"/>
                <w:szCs w:val="22"/>
                <w:lang w:eastAsia="nb-NO"/>
              </w:rPr>
              <w:t>Studiepoeng, profesjon (100)</w:t>
            </w:r>
          </w:p>
        </w:tc>
        <w:tc>
          <w:tcPr>
            <w:tcW w:w="1346" w:type="pct"/>
            <w:vAlign w:val="center"/>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6 000</w:t>
            </w:r>
          </w:p>
        </w:tc>
        <w:tc>
          <w:tcPr>
            <w:tcW w:w="1347" w:type="pct"/>
            <w:vAlign w:val="center"/>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6 300</w:t>
            </w:r>
          </w:p>
        </w:tc>
      </w:tr>
      <w:tr w:rsidR="00BA2936" w:rsidRPr="00EC1134" w:rsidTr="00400389">
        <w:trPr>
          <w:trHeight w:val="360"/>
        </w:trPr>
        <w:tc>
          <w:tcPr>
            <w:cnfStyle w:val="001000000000" w:firstRow="0" w:lastRow="0" w:firstColumn="1" w:lastColumn="0" w:oddVBand="0" w:evenVBand="0" w:oddHBand="0" w:evenHBand="0" w:firstRowFirstColumn="0" w:firstRowLastColumn="0" w:lastRowFirstColumn="0" w:lastRowLastColumn="0"/>
            <w:tcW w:w="2307" w:type="pct"/>
            <w:vAlign w:val="center"/>
          </w:tcPr>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Doktorgradskandidater (10)</w:t>
            </w:r>
          </w:p>
        </w:tc>
        <w:tc>
          <w:tcPr>
            <w:tcW w:w="1346" w:type="pct"/>
            <w:vAlign w:val="center"/>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1 838</w:t>
            </w:r>
          </w:p>
        </w:tc>
        <w:tc>
          <w:tcPr>
            <w:tcW w:w="1347" w:type="pct"/>
            <w:vAlign w:val="center"/>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2 000</w:t>
            </w:r>
          </w:p>
        </w:tc>
      </w:tr>
      <w:tr w:rsidR="00BA2936" w:rsidRPr="00EC1134" w:rsidTr="004003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07" w:type="pct"/>
            <w:vAlign w:val="center"/>
          </w:tcPr>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NFR-inntekter (1 mill. kr.)</w:t>
            </w:r>
          </w:p>
        </w:tc>
        <w:tc>
          <w:tcPr>
            <w:tcW w:w="1346" w:type="pct"/>
            <w:vAlign w:val="center"/>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913</w:t>
            </w:r>
          </w:p>
        </w:tc>
        <w:tc>
          <w:tcPr>
            <w:tcW w:w="1347" w:type="pct"/>
            <w:vAlign w:val="center"/>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1 039</w:t>
            </w:r>
          </w:p>
        </w:tc>
      </w:tr>
      <w:tr w:rsidR="00BA2936" w:rsidRPr="00EC1134" w:rsidTr="00400389">
        <w:trPr>
          <w:trHeight w:val="360"/>
        </w:trPr>
        <w:tc>
          <w:tcPr>
            <w:cnfStyle w:val="001000000000" w:firstRow="0" w:lastRow="0" w:firstColumn="1" w:lastColumn="0" w:oddVBand="0" w:evenVBand="0" w:oddHBand="0" w:evenHBand="0" w:firstRowFirstColumn="0" w:firstRowLastColumn="0" w:lastRowFirstColumn="0" w:lastRowLastColumn="0"/>
            <w:tcW w:w="2307" w:type="pct"/>
            <w:vAlign w:val="center"/>
          </w:tcPr>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EU-inntekter (1 mill. kr.)</w:t>
            </w:r>
          </w:p>
        </w:tc>
        <w:tc>
          <w:tcPr>
            <w:tcW w:w="1346" w:type="pct"/>
            <w:vAlign w:val="center"/>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1 526</w:t>
            </w:r>
          </w:p>
        </w:tc>
        <w:tc>
          <w:tcPr>
            <w:tcW w:w="1347" w:type="pct"/>
            <w:vAlign w:val="center"/>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1 453</w:t>
            </w:r>
          </w:p>
        </w:tc>
      </w:tr>
      <w:tr w:rsidR="00BA2936" w:rsidRPr="00EC1134" w:rsidTr="004003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07" w:type="pct"/>
            <w:vAlign w:val="center"/>
            <w:hideMark/>
          </w:tcPr>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Publikasjonspoeng (100)</w:t>
            </w:r>
          </w:p>
        </w:tc>
        <w:tc>
          <w:tcPr>
            <w:tcW w:w="1346" w:type="pct"/>
            <w:vAlign w:val="center"/>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1 252</w:t>
            </w:r>
          </w:p>
        </w:tc>
        <w:tc>
          <w:tcPr>
            <w:tcW w:w="1347" w:type="pct"/>
            <w:vAlign w:val="center"/>
            <w:hideMark/>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b-NO"/>
              </w:rPr>
            </w:pPr>
            <w:r w:rsidRPr="00EC1134">
              <w:rPr>
                <w:rFonts w:eastAsia="Times New Roman" w:cs="Times New Roman"/>
                <w:sz w:val="22"/>
                <w:szCs w:val="22"/>
                <w:lang w:eastAsia="nb-NO"/>
              </w:rPr>
              <w:t>1 463</w:t>
            </w:r>
          </w:p>
        </w:tc>
      </w:tr>
    </w:tbl>
    <w:p w:rsidR="00BA2936" w:rsidRPr="00EC1134" w:rsidRDefault="00BA2936" w:rsidP="00BA2936">
      <w:pPr>
        <w:pStyle w:val="BodyText"/>
        <w:rPr>
          <w:sz w:val="18"/>
          <w:lang w:val="nb-NO"/>
        </w:rPr>
      </w:pPr>
      <w:r w:rsidRPr="00EC1134">
        <w:rPr>
          <w:sz w:val="18"/>
          <w:lang w:val="nb-NO"/>
        </w:rPr>
        <w:t xml:space="preserve">Ny modell inkluderer også betaling for ferdige kandidater. Prisene i ny modell er UiOs priser fratrukket en skatteprosent på 14. Inntektsvirkningen for master øker i ny modell, selv om skattesatsen økes. Dette skyldes at fakultetet kommer bedre ut i denne kategorien i den nye modellen til UiO. </w:t>
      </w:r>
    </w:p>
    <w:p w:rsidR="00BA2936" w:rsidRPr="00EC1134" w:rsidRDefault="00BA2936" w:rsidP="00BA2936">
      <w:pPr>
        <w:pStyle w:val="BodyText"/>
        <w:rPr>
          <w:lang w:val="nb-NO" w:eastAsia="en-US"/>
        </w:rPr>
      </w:pPr>
      <w:r w:rsidRPr="00EC1134">
        <w:rPr>
          <w:lang w:val="nb-NO" w:eastAsia="en-US"/>
        </w:rPr>
        <w:t>Når det gjelder studiepoeng, vil økt produksjon gi større uttelling for bachelorstudiene, men lavere for master- og profesjonsstudiene. Det skyldes at i ny modell beskattes inntektene med 14 prosent, mens i gammel modell beskattes de med henholdsvis 28 og syv prosent. En økning av antallet doktorgradskandidater gir også mindre uttelling med ny modell, fordi skattesatsen går opp fra syv til 14 prosent.</w:t>
      </w:r>
    </w:p>
    <w:p w:rsidR="00BA2936" w:rsidRPr="00EC1134" w:rsidRDefault="00BA2936" w:rsidP="00BA2936">
      <w:pPr>
        <w:pStyle w:val="BodyText"/>
        <w:rPr>
          <w:lang w:val="nb-NO" w:eastAsia="en-US"/>
        </w:rPr>
      </w:pPr>
      <w:r w:rsidRPr="00EC1134">
        <w:rPr>
          <w:lang w:val="nb-NO" w:eastAsia="en-US"/>
        </w:rPr>
        <w:t>Når det gjelder forskningsinntekter, gir NFR-inntekter mindre uttelling i ny modell, mens EU-inntekter gir større uttelling. I ny modell beskattes resultatinntektene med en lavere sats – 14 mot tidligere 42,4 prosent – men til gjengjeld innføres det beskatning av prosjektinntekter. I og med at resultatinntektene er relativt små for NFR-prosjekt, dominerer virkning av skatt på prosjektinntektene den lavere skatte på resultatinntektene; for EU-prosjekter er det omvendt.</w:t>
      </w:r>
    </w:p>
    <w:p w:rsidR="00BA2936" w:rsidRPr="00EC1134" w:rsidRDefault="00BA2936" w:rsidP="00BA2936">
      <w:pPr>
        <w:pStyle w:val="BodyText"/>
        <w:rPr>
          <w:lang w:val="nb-NO" w:eastAsia="en-US"/>
        </w:rPr>
      </w:pPr>
      <w:r w:rsidRPr="00EC1134">
        <w:rPr>
          <w:lang w:val="nb-NO" w:eastAsia="en-US"/>
        </w:rPr>
        <w:t>Tilslutt vises virkningen av en økning i opptaksrammene for bachelor og master i ny budsjettmodell. Det foretas ingen sammenligning med dagens modell, fordi en eventuell endring i dimensjoneringen ville kreve en justering av plantall, og resultatet ville avhenge av størrelsen på justeringen. I beregningen er det forutsatt at resultatinntektene for henholdsvis studiepoeng og kandidater endres i takt med gjennomsnittlig produksjon på fakultetet. Inntektene øker gradvis inntil de når den fulle virkning når studentmassen er tilsvarende justert (tre år for bachelor og to år for master).</w:t>
      </w:r>
    </w:p>
    <w:p w:rsidR="00BA2936" w:rsidRPr="00EC1134" w:rsidRDefault="00BA2936" w:rsidP="00BA2936">
      <w:pPr>
        <w:pStyle w:val="Caption"/>
        <w:keepNext/>
        <w:rPr>
          <w:lang w:val="nb-NO"/>
        </w:rPr>
      </w:pPr>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10</w:t>
      </w:r>
      <w:r w:rsidRPr="00EC1134">
        <w:rPr>
          <w:lang w:val="nb-NO"/>
        </w:rPr>
        <w:fldChar w:fldCharType="end"/>
      </w:r>
      <w:r w:rsidRPr="00EC1134">
        <w:rPr>
          <w:lang w:val="nb-NO"/>
        </w:rPr>
        <w:t>: Virkning av en økning i opptaksrammer med 10 plasser, tusen kroner</w:t>
      </w:r>
    </w:p>
    <w:tbl>
      <w:tblPr>
        <w:tblStyle w:val="ListTable6Colorful"/>
        <w:tblW w:w="5000" w:type="pct"/>
        <w:tblLayout w:type="fixed"/>
        <w:tblLook w:val="04A0" w:firstRow="1" w:lastRow="0" w:firstColumn="1" w:lastColumn="0" w:noHBand="0" w:noVBand="1"/>
      </w:tblPr>
      <w:tblGrid>
        <w:gridCol w:w="3989"/>
        <w:gridCol w:w="1437"/>
        <w:gridCol w:w="1437"/>
        <w:gridCol w:w="1436"/>
      </w:tblGrid>
      <w:tr w:rsidR="00BA2936" w:rsidRPr="00EC1134" w:rsidTr="00400389">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03" w:type="pct"/>
            <w:vAlign w:val="center"/>
            <w:hideMark/>
          </w:tcPr>
          <w:p w:rsidR="00BA2936" w:rsidRPr="00EC1134" w:rsidRDefault="00BA2936" w:rsidP="00400389">
            <w:pPr>
              <w:keepNext/>
              <w:keepLines/>
              <w:widowControl w:val="0"/>
              <w:jc w:val="center"/>
              <w:rPr>
                <w:rFonts w:eastAsia="Times New Roman" w:cs="Times New Roman"/>
                <w:b w:val="0"/>
                <w:bCs w:val="0"/>
                <w:color w:val="000000"/>
                <w:sz w:val="22"/>
                <w:szCs w:val="22"/>
                <w:lang w:eastAsia="nb-NO"/>
              </w:rPr>
            </w:pPr>
          </w:p>
        </w:tc>
        <w:tc>
          <w:tcPr>
            <w:tcW w:w="866" w:type="pct"/>
            <w:vAlign w:val="center"/>
          </w:tcPr>
          <w:p w:rsidR="00BA2936" w:rsidRPr="00EC1134" w:rsidRDefault="00BA2936" w:rsidP="00400389">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1. år</w:t>
            </w:r>
          </w:p>
        </w:tc>
        <w:tc>
          <w:tcPr>
            <w:tcW w:w="866" w:type="pct"/>
            <w:vAlign w:val="center"/>
            <w:hideMark/>
          </w:tcPr>
          <w:p w:rsidR="00BA2936" w:rsidRPr="00EC1134" w:rsidRDefault="00BA2936" w:rsidP="00400389">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2. år</w:t>
            </w:r>
          </w:p>
        </w:tc>
        <w:tc>
          <w:tcPr>
            <w:tcW w:w="866" w:type="pct"/>
            <w:vAlign w:val="center"/>
            <w:hideMark/>
          </w:tcPr>
          <w:p w:rsidR="00BA2936" w:rsidRPr="00EC1134" w:rsidRDefault="00BA2936" w:rsidP="00400389">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3. år</w:t>
            </w:r>
          </w:p>
        </w:tc>
      </w:tr>
      <w:tr w:rsidR="00BA2936" w:rsidRPr="00EC1134" w:rsidTr="004003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3" w:type="pct"/>
            <w:vAlign w:val="center"/>
            <w:hideMark/>
          </w:tcPr>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Bachelor</w:t>
            </w:r>
          </w:p>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 studieplassinntekter</w:t>
            </w:r>
          </w:p>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bCs w:val="0"/>
                <w:color w:val="000000"/>
                <w:sz w:val="22"/>
                <w:szCs w:val="22"/>
                <w:lang w:eastAsia="nb-NO"/>
              </w:rPr>
              <w:t>- resultatinntekter</w:t>
            </w:r>
          </w:p>
        </w:tc>
        <w:tc>
          <w:tcPr>
            <w:tcW w:w="866" w:type="pct"/>
            <w:vAlign w:val="center"/>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p>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170</w:t>
            </w:r>
          </w:p>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140</w:t>
            </w:r>
          </w:p>
        </w:tc>
        <w:tc>
          <w:tcPr>
            <w:tcW w:w="866" w:type="pct"/>
            <w:vAlign w:val="center"/>
            <w:hideMark/>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p>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330</w:t>
            </w:r>
          </w:p>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281</w:t>
            </w:r>
          </w:p>
        </w:tc>
        <w:tc>
          <w:tcPr>
            <w:tcW w:w="866" w:type="pct"/>
            <w:vAlign w:val="center"/>
            <w:hideMark/>
          </w:tcPr>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p>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500</w:t>
            </w:r>
          </w:p>
          <w:p w:rsidR="00BA2936" w:rsidRPr="00EC1134" w:rsidRDefault="00BA2936" w:rsidP="00400389">
            <w:pPr>
              <w:keepNext/>
              <w:keepLines/>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420</w:t>
            </w:r>
          </w:p>
        </w:tc>
      </w:tr>
      <w:tr w:rsidR="00BA2936" w:rsidRPr="00EC1134" w:rsidTr="00400389">
        <w:trPr>
          <w:trHeight w:val="360"/>
        </w:trPr>
        <w:tc>
          <w:tcPr>
            <w:cnfStyle w:val="001000000000" w:firstRow="0" w:lastRow="0" w:firstColumn="1" w:lastColumn="0" w:oddVBand="0" w:evenVBand="0" w:oddHBand="0" w:evenHBand="0" w:firstRowFirstColumn="0" w:firstRowLastColumn="0" w:lastRowFirstColumn="0" w:lastRowLastColumn="0"/>
            <w:tcW w:w="2403" w:type="pct"/>
            <w:vAlign w:val="center"/>
            <w:hideMark/>
          </w:tcPr>
          <w:p w:rsidR="00BA2936" w:rsidRPr="00EC1134" w:rsidRDefault="00BA2936" w:rsidP="00400389">
            <w:pPr>
              <w:keepNext/>
              <w:keepLines/>
              <w:widowControl w:val="0"/>
              <w:rPr>
                <w:rFonts w:eastAsia="Times New Roman" w:cs="Times New Roman"/>
                <w:color w:val="000000"/>
                <w:sz w:val="22"/>
                <w:szCs w:val="22"/>
                <w:lang w:eastAsia="nb-NO"/>
              </w:rPr>
            </w:pPr>
            <w:r w:rsidRPr="00EC1134">
              <w:rPr>
                <w:rFonts w:eastAsia="Times New Roman" w:cs="Times New Roman"/>
                <w:color w:val="000000"/>
                <w:sz w:val="22"/>
                <w:szCs w:val="22"/>
                <w:lang w:eastAsia="nb-NO"/>
              </w:rPr>
              <w:t>Master</w:t>
            </w:r>
          </w:p>
          <w:p w:rsidR="00BA2936" w:rsidRPr="00EC1134" w:rsidRDefault="00BA2936" w:rsidP="00400389">
            <w:pPr>
              <w:keepNext/>
              <w:keepLines/>
              <w:widowControl w:val="0"/>
              <w:rPr>
                <w:rFonts w:eastAsia="Times New Roman" w:cs="Times New Roman"/>
                <w:color w:val="000000"/>
                <w:sz w:val="22"/>
                <w:szCs w:val="22"/>
                <w:lang w:eastAsia="nb-NO"/>
              </w:rPr>
            </w:pPr>
            <w:r w:rsidRPr="00EC1134">
              <w:rPr>
                <w:rFonts w:eastAsia="Times New Roman" w:cs="Times New Roman"/>
                <w:color w:val="000000"/>
                <w:sz w:val="22"/>
                <w:szCs w:val="22"/>
                <w:lang w:eastAsia="nb-NO"/>
              </w:rPr>
              <w:t>- studieplassinntekter</w:t>
            </w:r>
          </w:p>
          <w:p w:rsidR="00BA2936" w:rsidRPr="00EC1134" w:rsidRDefault="00BA2936" w:rsidP="00400389">
            <w:pPr>
              <w:keepNext/>
              <w:keepLines/>
              <w:widowControl w:val="0"/>
              <w:rPr>
                <w:rFonts w:eastAsia="Times New Roman" w:cs="Times New Roman"/>
                <w:bCs w:val="0"/>
                <w:color w:val="000000"/>
                <w:sz w:val="22"/>
                <w:szCs w:val="22"/>
                <w:lang w:eastAsia="nb-NO"/>
              </w:rPr>
            </w:pPr>
            <w:r w:rsidRPr="00EC1134">
              <w:rPr>
                <w:rFonts w:eastAsia="Times New Roman" w:cs="Times New Roman"/>
                <w:color w:val="000000"/>
                <w:sz w:val="22"/>
                <w:szCs w:val="22"/>
                <w:lang w:eastAsia="nb-NO"/>
              </w:rPr>
              <w:t>- resultatinntekter</w:t>
            </w:r>
          </w:p>
        </w:tc>
        <w:tc>
          <w:tcPr>
            <w:tcW w:w="866" w:type="pct"/>
            <w:vAlign w:val="center"/>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p>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457</w:t>
            </w:r>
          </w:p>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152</w:t>
            </w:r>
          </w:p>
        </w:tc>
        <w:tc>
          <w:tcPr>
            <w:tcW w:w="866" w:type="pct"/>
            <w:vAlign w:val="center"/>
            <w:hideMark/>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p>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915</w:t>
            </w:r>
          </w:p>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304</w:t>
            </w:r>
          </w:p>
        </w:tc>
        <w:tc>
          <w:tcPr>
            <w:tcW w:w="866" w:type="pct"/>
            <w:vAlign w:val="center"/>
            <w:hideMark/>
          </w:tcPr>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p>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915</w:t>
            </w:r>
          </w:p>
          <w:p w:rsidR="00BA2936" w:rsidRPr="00EC1134" w:rsidRDefault="00BA2936" w:rsidP="00400389">
            <w:pPr>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b-NO"/>
              </w:rPr>
            </w:pPr>
            <w:r w:rsidRPr="00EC1134">
              <w:rPr>
                <w:rFonts w:eastAsia="Times New Roman" w:cs="Times New Roman"/>
                <w:color w:val="000000"/>
                <w:sz w:val="22"/>
                <w:szCs w:val="22"/>
                <w:lang w:eastAsia="nb-NO"/>
              </w:rPr>
              <w:t>456</w:t>
            </w:r>
          </w:p>
        </w:tc>
      </w:tr>
    </w:tbl>
    <w:p w:rsidR="00BA2936" w:rsidRPr="00EC1134" w:rsidRDefault="00BA2936" w:rsidP="00AC0AE8">
      <w:pPr>
        <w:pStyle w:val="BodyText"/>
        <w:rPr>
          <w:sz w:val="18"/>
          <w:lang w:val="nb-NO"/>
        </w:rPr>
      </w:pPr>
      <w:r w:rsidRPr="00EC1134">
        <w:rPr>
          <w:sz w:val="18"/>
          <w:lang w:val="nb-NO"/>
        </w:rPr>
        <w:t>Resultatinntekter inkluderer også betaling for ferdige kandidater. Summen i 3. året viser hva den årlige økningen i enhetenes ramme vil være når programmet er i normal drift. Resultatinntektene er basert på 3-årige gjennomsnitt, dette betyr at det vil ta 7, 6 og 10 år hhv på bachelor, master og profesjon før endring i rammen vil ha full effekt på en enhet.</w:t>
      </w:r>
    </w:p>
    <w:p w:rsidR="00A574D4" w:rsidRPr="00EC1134" w:rsidRDefault="00BA2936" w:rsidP="00BA2936">
      <w:pPr>
        <w:pStyle w:val="Heading1"/>
      </w:pPr>
      <w:r w:rsidRPr="00EC1134">
        <w:t>Tilpasning</w:t>
      </w:r>
    </w:p>
    <w:p w:rsidR="00AC0AE8" w:rsidRPr="00EC1134" w:rsidRDefault="00AC0AE8" w:rsidP="00A574D4">
      <w:pPr>
        <w:pStyle w:val="BodyText"/>
        <w:rPr>
          <w:lang w:val="nb-NO" w:eastAsia="en-US"/>
        </w:rPr>
      </w:pPr>
      <w:r w:rsidRPr="00EC1134">
        <w:rPr>
          <w:lang w:val="nb-NO" w:eastAsia="en-US"/>
        </w:rPr>
        <w:t xml:space="preserve">Innføring av en ny modell vil gi umiddelbare endringer i enhetenes beregnede inntekter. </w:t>
      </w:r>
      <w:r w:rsidR="00BA2936" w:rsidRPr="00EC1134">
        <w:rPr>
          <w:lang w:val="nb-NO" w:eastAsia="en-US"/>
        </w:rPr>
        <w:t xml:space="preserve">Slike endringer kan </w:t>
      </w:r>
      <w:r w:rsidRPr="00EC1134">
        <w:rPr>
          <w:lang w:val="nb-NO" w:eastAsia="en-US"/>
        </w:rPr>
        <w:t>nøytralisere ved å legge inn faste tilpasningsledd</w:t>
      </w:r>
      <w:r w:rsidR="00BA2936" w:rsidRPr="00EC1134">
        <w:rPr>
          <w:lang w:val="nb-NO" w:eastAsia="en-US"/>
        </w:rPr>
        <w:t xml:space="preserve">, </w:t>
      </w:r>
      <w:r w:rsidRPr="00EC1134">
        <w:rPr>
          <w:lang w:val="nb-NO" w:eastAsia="en-US"/>
        </w:rPr>
        <w:t>beregnet som diffe</w:t>
      </w:r>
      <w:r w:rsidR="007557C4">
        <w:rPr>
          <w:lang w:val="nb-NO" w:eastAsia="en-US"/>
        </w:rPr>
        <w:t>ransen mellom inntekter</w:t>
      </w:r>
      <w:r w:rsidRPr="00EC1134">
        <w:rPr>
          <w:lang w:val="nb-NO" w:eastAsia="en-US"/>
        </w:rPr>
        <w:t xml:space="preserve"> med henholdsvis gammel og ny modell. Leddene </w:t>
      </w:r>
      <w:r w:rsidR="00BA2936" w:rsidRPr="00EC1134">
        <w:rPr>
          <w:lang w:val="nb-NO" w:eastAsia="en-US"/>
        </w:rPr>
        <w:t xml:space="preserve">kan </w:t>
      </w:r>
      <w:r w:rsidRPr="00EC1134">
        <w:rPr>
          <w:lang w:val="nb-NO" w:eastAsia="en-US"/>
        </w:rPr>
        <w:t>videreføres fra år til år</w:t>
      </w:r>
      <w:r w:rsidR="00BA2936" w:rsidRPr="00EC1134">
        <w:rPr>
          <w:lang w:val="nb-NO" w:eastAsia="en-US"/>
        </w:rPr>
        <w:t xml:space="preserve"> eller nedjusteres over tid, dersom det er ønskelig</w:t>
      </w:r>
      <w:r w:rsidRPr="00EC1134">
        <w:rPr>
          <w:lang w:val="nb-NO" w:eastAsia="en-US"/>
        </w:rPr>
        <w:t>.</w:t>
      </w:r>
    </w:p>
    <w:p w:rsidR="00BA2936" w:rsidRPr="00EC1134" w:rsidRDefault="00BA2936" w:rsidP="00BA2936">
      <w:pPr>
        <w:pStyle w:val="Heading2"/>
      </w:pPr>
      <w:r w:rsidRPr="00EC1134">
        <w:t>Tilpasningsledd</w:t>
      </w:r>
    </w:p>
    <w:p w:rsidR="00A574D4" w:rsidRPr="00EC1134" w:rsidRDefault="00834E9C" w:rsidP="00A574D4">
      <w:pPr>
        <w:pStyle w:val="BodyText"/>
        <w:rPr>
          <w:lang w:val="nb-NO" w:eastAsia="en-US"/>
        </w:rPr>
      </w:pPr>
      <w:r w:rsidRPr="00EC1134">
        <w:rPr>
          <w:lang w:val="nb-NO" w:eastAsia="en-US"/>
        </w:rPr>
        <w:t xml:space="preserve">Som det fremgår av </w:t>
      </w:r>
      <w:r w:rsidRPr="00EC1134">
        <w:rPr>
          <w:lang w:val="nb-NO" w:eastAsia="en-US"/>
        </w:rPr>
        <w:fldChar w:fldCharType="begin"/>
      </w:r>
      <w:r w:rsidRPr="00EC1134">
        <w:rPr>
          <w:lang w:val="nb-NO" w:eastAsia="en-US"/>
        </w:rPr>
        <w:instrText xml:space="preserve"> REF _Ref505604231 \h \*Lower </w:instrText>
      </w:r>
      <w:r w:rsidRPr="00EC1134">
        <w:rPr>
          <w:lang w:val="nb-NO" w:eastAsia="en-US"/>
        </w:rPr>
      </w:r>
      <w:r w:rsidRPr="00EC1134">
        <w:rPr>
          <w:lang w:val="nb-NO" w:eastAsia="en-US"/>
        </w:rPr>
        <w:fldChar w:fldCharType="separate"/>
      </w:r>
      <w:r w:rsidR="00B759DD" w:rsidRPr="00EC1134">
        <w:rPr>
          <w:lang w:val="nb-NO"/>
        </w:rPr>
        <w:t xml:space="preserve">tabell </w:t>
      </w:r>
      <w:r w:rsidR="00B759DD">
        <w:rPr>
          <w:noProof/>
          <w:lang w:val="nb-NO"/>
        </w:rPr>
        <w:t>11</w:t>
      </w:r>
      <w:r w:rsidRPr="00EC1134">
        <w:rPr>
          <w:lang w:val="nb-NO" w:eastAsia="en-US"/>
        </w:rPr>
        <w:fldChar w:fldCharType="end"/>
      </w:r>
      <w:r w:rsidR="00A574D4" w:rsidRPr="00EC1134">
        <w:rPr>
          <w:lang w:val="nb-NO" w:eastAsia="en-US"/>
        </w:rPr>
        <w:t xml:space="preserve">, er </w:t>
      </w:r>
      <w:r w:rsidR="00BA2936" w:rsidRPr="00EC1134">
        <w:rPr>
          <w:lang w:val="nb-NO" w:eastAsia="en-US"/>
        </w:rPr>
        <w:t>differansen mellom gammel og ny modell</w:t>
      </w:r>
      <w:r w:rsidR="00A574D4" w:rsidRPr="00EC1134">
        <w:rPr>
          <w:lang w:val="nb-NO" w:eastAsia="en-US"/>
        </w:rPr>
        <w:t xml:space="preserve"> tildels store, særlig for Psykologisk institutt.</w:t>
      </w:r>
      <w:r w:rsidR="00A632C7" w:rsidRPr="00EC1134">
        <w:rPr>
          <w:rStyle w:val="FootnoteReference"/>
          <w:lang w:val="nb-NO" w:eastAsia="en-US"/>
        </w:rPr>
        <w:footnoteReference w:id="11"/>
      </w:r>
      <w:r w:rsidR="00A574D4" w:rsidRPr="00EC1134">
        <w:rPr>
          <w:lang w:val="nb-NO" w:eastAsia="en-US"/>
        </w:rPr>
        <w:t xml:space="preserve"> Første kolonne</w:t>
      </w:r>
      <w:r w:rsidR="00E154B8" w:rsidRPr="00EC1134">
        <w:rPr>
          <w:lang w:val="nb-NO" w:eastAsia="en-US"/>
        </w:rPr>
        <w:t xml:space="preserve"> i tabellen viser totalbudsjett</w:t>
      </w:r>
      <w:r w:rsidR="00A574D4" w:rsidRPr="00EC1134">
        <w:rPr>
          <w:lang w:val="nb-NO" w:eastAsia="en-US"/>
        </w:rPr>
        <w:t xml:space="preserve"> for 2018 for enhetene, den andre kolonnen viser hva tildelingen ville ha vært med ny modell</w:t>
      </w:r>
      <w:r w:rsidR="00AC0AE8" w:rsidRPr="00EC1134">
        <w:rPr>
          <w:lang w:val="nb-NO" w:eastAsia="en-US"/>
        </w:rPr>
        <w:t xml:space="preserve"> uten tilpasningsledd</w:t>
      </w:r>
      <w:r w:rsidR="00A574D4" w:rsidRPr="00EC1134">
        <w:rPr>
          <w:lang w:val="nb-NO" w:eastAsia="en-US"/>
        </w:rPr>
        <w:t>, mens den tredje kolonnen viser differansene, altså tilpasningsleddene.</w:t>
      </w:r>
    </w:p>
    <w:p w:rsidR="00437EA6" w:rsidRPr="00EC1134" w:rsidRDefault="00437EA6" w:rsidP="00437EA6">
      <w:pPr>
        <w:pStyle w:val="Caption"/>
        <w:keepNext/>
        <w:rPr>
          <w:lang w:val="nb-NO"/>
        </w:rPr>
      </w:pPr>
      <w:bookmarkStart w:id="10" w:name="_Ref505604231"/>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11</w:t>
      </w:r>
      <w:r w:rsidRPr="00EC1134">
        <w:rPr>
          <w:lang w:val="nb-NO"/>
        </w:rPr>
        <w:fldChar w:fldCharType="end"/>
      </w:r>
      <w:bookmarkEnd w:id="10"/>
      <w:r w:rsidRPr="00EC1134">
        <w:rPr>
          <w:lang w:val="nb-NO"/>
        </w:rPr>
        <w:t xml:space="preserve">: </w:t>
      </w:r>
      <w:r w:rsidR="00E154B8" w:rsidRPr="00EC1134">
        <w:rPr>
          <w:lang w:val="nb-NO"/>
        </w:rPr>
        <w:t>Totalbudsjett</w:t>
      </w:r>
      <w:r w:rsidRPr="00EC1134">
        <w:rPr>
          <w:lang w:val="nb-NO"/>
        </w:rPr>
        <w:t xml:space="preserve"> 2018 med dagens og</w:t>
      </w:r>
      <w:r w:rsidR="003738E8" w:rsidRPr="00EC1134">
        <w:rPr>
          <w:lang w:val="nb-NO"/>
        </w:rPr>
        <w:t xml:space="preserve"> ny modell</w:t>
      </w:r>
      <w:r w:rsidR="00E154B8" w:rsidRPr="00EC1134">
        <w:rPr>
          <w:lang w:val="nb-NO"/>
        </w:rPr>
        <w:t>, tusen</w:t>
      </w:r>
      <w:r w:rsidRPr="00EC1134">
        <w:rPr>
          <w:lang w:val="nb-NO"/>
        </w:rPr>
        <w:t xml:space="preserve"> kroner</w:t>
      </w:r>
    </w:p>
    <w:tbl>
      <w:tblPr>
        <w:tblW w:w="5000" w:type="pct"/>
        <w:tblCellMar>
          <w:left w:w="70" w:type="dxa"/>
          <w:right w:w="70" w:type="dxa"/>
        </w:tblCellMar>
        <w:tblLook w:val="04A0" w:firstRow="1" w:lastRow="0" w:firstColumn="1" w:lastColumn="0" w:noHBand="0" w:noVBand="1"/>
      </w:tblPr>
      <w:tblGrid>
        <w:gridCol w:w="1923"/>
        <w:gridCol w:w="1927"/>
        <w:gridCol w:w="2075"/>
        <w:gridCol w:w="2374"/>
      </w:tblGrid>
      <w:tr w:rsidR="001432C6" w:rsidRPr="004A595A" w:rsidTr="001432C6">
        <w:trPr>
          <w:trHeight w:val="705"/>
        </w:trPr>
        <w:tc>
          <w:tcPr>
            <w:tcW w:w="1159" w:type="pct"/>
            <w:tcBorders>
              <w:top w:val="single" w:sz="8" w:space="0" w:color="000000"/>
              <w:left w:val="nil"/>
              <w:bottom w:val="single" w:sz="8" w:space="0" w:color="000000"/>
              <w:right w:val="nil"/>
            </w:tcBorders>
            <w:shd w:val="clear" w:color="auto" w:fill="auto"/>
            <w:vAlign w:val="center"/>
            <w:hideMark/>
          </w:tcPr>
          <w:p w:rsidR="001432C6" w:rsidRPr="004A595A" w:rsidRDefault="001432C6" w:rsidP="001432C6">
            <w:pPr>
              <w:rPr>
                <w:rFonts w:eastAsia="Times New Roman" w:cs="Times New Roman"/>
                <w:color w:val="000000"/>
                <w:sz w:val="22"/>
                <w:szCs w:val="22"/>
                <w:lang w:eastAsia="nb-NO"/>
              </w:rPr>
            </w:pPr>
            <w:r w:rsidRPr="004A595A">
              <w:rPr>
                <w:rFonts w:eastAsia="Times New Roman" w:cs="Times New Roman"/>
                <w:color w:val="000000"/>
                <w:sz w:val="22"/>
                <w:szCs w:val="22"/>
                <w:lang w:eastAsia="nb-NO"/>
              </w:rPr>
              <w:t> </w:t>
            </w:r>
          </w:p>
        </w:tc>
        <w:tc>
          <w:tcPr>
            <w:tcW w:w="1161" w:type="pct"/>
            <w:tcBorders>
              <w:top w:val="single" w:sz="8" w:space="0" w:color="000000"/>
              <w:left w:val="nil"/>
              <w:bottom w:val="single" w:sz="8" w:space="0" w:color="000000"/>
              <w:right w:val="nil"/>
            </w:tcBorders>
            <w:shd w:val="clear" w:color="auto" w:fill="auto"/>
            <w:vAlign w:val="center"/>
            <w:hideMark/>
          </w:tcPr>
          <w:p w:rsidR="001432C6" w:rsidRPr="004A595A" w:rsidRDefault="001432C6" w:rsidP="001432C6">
            <w:pPr>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Ny modell</w:t>
            </w:r>
          </w:p>
        </w:tc>
        <w:tc>
          <w:tcPr>
            <w:tcW w:w="1250" w:type="pct"/>
            <w:tcBorders>
              <w:top w:val="single" w:sz="8" w:space="0" w:color="000000"/>
              <w:left w:val="nil"/>
              <w:bottom w:val="single" w:sz="8" w:space="0" w:color="000000"/>
              <w:right w:val="nil"/>
            </w:tcBorders>
            <w:shd w:val="clear" w:color="auto" w:fill="auto"/>
            <w:vAlign w:val="center"/>
            <w:hideMark/>
          </w:tcPr>
          <w:p w:rsidR="001432C6" w:rsidRPr="004A595A" w:rsidRDefault="001432C6" w:rsidP="001432C6">
            <w:pPr>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Gammel modell</w:t>
            </w:r>
          </w:p>
        </w:tc>
        <w:tc>
          <w:tcPr>
            <w:tcW w:w="1430" w:type="pct"/>
            <w:tcBorders>
              <w:top w:val="single" w:sz="8" w:space="0" w:color="000000"/>
              <w:left w:val="nil"/>
              <w:bottom w:val="single" w:sz="8" w:space="0" w:color="000000"/>
              <w:right w:val="nil"/>
            </w:tcBorders>
            <w:shd w:val="clear" w:color="auto" w:fill="auto"/>
            <w:vAlign w:val="center"/>
            <w:hideMark/>
          </w:tcPr>
          <w:p w:rsidR="001432C6" w:rsidRPr="004A595A" w:rsidRDefault="001432C6" w:rsidP="001432C6">
            <w:pPr>
              <w:jc w:val="cente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Differanse</w:t>
            </w:r>
          </w:p>
        </w:tc>
      </w:tr>
      <w:tr w:rsidR="001432C6" w:rsidRPr="004A595A" w:rsidTr="001432C6">
        <w:trPr>
          <w:trHeight w:val="390"/>
        </w:trPr>
        <w:tc>
          <w:tcPr>
            <w:tcW w:w="1159" w:type="pct"/>
            <w:tcBorders>
              <w:top w:val="nil"/>
              <w:left w:val="nil"/>
              <w:bottom w:val="nil"/>
              <w:right w:val="nil"/>
            </w:tcBorders>
            <w:shd w:val="clear" w:color="000000" w:fill="CCCCCC"/>
            <w:vAlign w:val="center"/>
            <w:hideMark/>
          </w:tcPr>
          <w:p w:rsidR="001432C6" w:rsidRPr="004A595A" w:rsidRDefault="001432C6" w:rsidP="001432C6">
            <w:pP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ARENA</w:t>
            </w:r>
          </w:p>
        </w:tc>
        <w:tc>
          <w:tcPr>
            <w:tcW w:w="1161"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15 527</w:t>
            </w:r>
          </w:p>
        </w:tc>
        <w:tc>
          <w:tcPr>
            <w:tcW w:w="1250"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18 437</w:t>
            </w:r>
          </w:p>
        </w:tc>
        <w:tc>
          <w:tcPr>
            <w:tcW w:w="1430"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-2 910</w:t>
            </w:r>
          </w:p>
        </w:tc>
      </w:tr>
      <w:tr w:rsidR="001432C6" w:rsidRPr="004A595A" w:rsidTr="001432C6">
        <w:trPr>
          <w:trHeight w:val="390"/>
        </w:trPr>
        <w:tc>
          <w:tcPr>
            <w:tcW w:w="1159" w:type="pct"/>
            <w:tcBorders>
              <w:top w:val="nil"/>
              <w:left w:val="nil"/>
              <w:bottom w:val="nil"/>
              <w:right w:val="nil"/>
            </w:tcBorders>
            <w:shd w:val="clear" w:color="auto" w:fill="auto"/>
            <w:vAlign w:val="center"/>
            <w:hideMark/>
          </w:tcPr>
          <w:p w:rsidR="001432C6" w:rsidRPr="004A595A" w:rsidRDefault="001432C6" w:rsidP="001432C6">
            <w:pP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ISS</w:t>
            </w:r>
          </w:p>
        </w:tc>
        <w:tc>
          <w:tcPr>
            <w:tcW w:w="1161"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75 436</w:t>
            </w:r>
          </w:p>
        </w:tc>
        <w:tc>
          <w:tcPr>
            <w:tcW w:w="1250"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81 456</w:t>
            </w:r>
          </w:p>
        </w:tc>
        <w:tc>
          <w:tcPr>
            <w:tcW w:w="1430"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-6 020</w:t>
            </w:r>
          </w:p>
        </w:tc>
      </w:tr>
      <w:tr w:rsidR="001432C6" w:rsidRPr="004A595A" w:rsidTr="001432C6">
        <w:trPr>
          <w:trHeight w:val="390"/>
        </w:trPr>
        <w:tc>
          <w:tcPr>
            <w:tcW w:w="1159" w:type="pct"/>
            <w:tcBorders>
              <w:top w:val="nil"/>
              <w:left w:val="nil"/>
              <w:bottom w:val="nil"/>
              <w:right w:val="nil"/>
            </w:tcBorders>
            <w:shd w:val="clear" w:color="000000" w:fill="CCCCCC"/>
            <w:vAlign w:val="center"/>
            <w:hideMark/>
          </w:tcPr>
          <w:p w:rsidR="001432C6" w:rsidRPr="004A595A" w:rsidRDefault="001432C6" w:rsidP="001432C6">
            <w:pP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ISV</w:t>
            </w:r>
          </w:p>
        </w:tc>
        <w:tc>
          <w:tcPr>
            <w:tcW w:w="1161"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70 436</w:t>
            </w:r>
          </w:p>
        </w:tc>
        <w:tc>
          <w:tcPr>
            <w:tcW w:w="1250"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67 481</w:t>
            </w:r>
          </w:p>
        </w:tc>
        <w:tc>
          <w:tcPr>
            <w:tcW w:w="1430"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2 954</w:t>
            </w:r>
          </w:p>
        </w:tc>
      </w:tr>
      <w:tr w:rsidR="001432C6" w:rsidRPr="004A595A" w:rsidTr="001432C6">
        <w:trPr>
          <w:trHeight w:val="390"/>
        </w:trPr>
        <w:tc>
          <w:tcPr>
            <w:tcW w:w="1159" w:type="pct"/>
            <w:tcBorders>
              <w:top w:val="nil"/>
              <w:left w:val="nil"/>
              <w:bottom w:val="nil"/>
              <w:right w:val="nil"/>
            </w:tcBorders>
            <w:shd w:val="clear" w:color="auto" w:fill="auto"/>
            <w:vAlign w:val="center"/>
            <w:hideMark/>
          </w:tcPr>
          <w:p w:rsidR="001432C6" w:rsidRPr="004A595A" w:rsidRDefault="001432C6" w:rsidP="001432C6">
            <w:pP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PSI</w:t>
            </w:r>
          </w:p>
        </w:tc>
        <w:tc>
          <w:tcPr>
            <w:tcW w:w="1161"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216 058</w:t>
            </w:r>
          </w:p>
        </w:tc>
        <w:tc>
          <w:tcPr>
            <w:tcW w:w="1250"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197 977</w:t>
            </w:r>
          </w:p>
        </w:tc>
        <w:tc>
          <w:tcPr>
            <w:tcW w:w="1430"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18 081</w:t>
            </w:r>
          </w:p>
        </w:tc>
      </w:tr>
      <w:tr w:rsidR="001432C6" w:rsidRPr="004A595A" w:rsidTr="001432C6">
        <w:trPr>
          <w:trHeight w:val="390"/>
        </w:trPr>
        <w:tc>
          <w:tcPr>
            <w:tcW w:w="1159" w:type="pct"/>
            <w:tcBorders>
              <w:top w:val="nil"/>
              <w:left w:val="nil"/>
              <w:bottom w:val="nil"/>
              <w:right w:val="nil"/>
            </w:tcBorders>
            <w:shd w:val="clear" w:color="000000" w:fill="CCCCCC"/>
            <w:vAlign w:val="center"/>
            <w:hideMark/>
          </w:tcPr>
          <w:p w:rsidR="001432C6" w:rsidRPr="004A595A" w:rsidRDefault="001432C6" w:rsidP="001432C6">
            <w:pP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SAI</w:t>
            </w:r>
          </w:p>
        </w:tc>
        <w:tc>
          <w:tcPr>
            <w:tcW w:w="1161"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34 216</w:t>
            </w:r>
          </w:p>
        </w:tc>
        <w:tc>
          <w:tcPr>
            <w:tcW w:w="1250"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38 526</w:t>
            </w:r>
          </w:p>
        </w:tc>
        <w:tc>
          <w:tcPr>
            <w:tcW w:w="1430" w:type="pct"/>
            <w:tcBorders>
              <w:top w:val="nil"/>
              <w:left w:val="nil"/>
              <w:bottom w:val="nil"/>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-4 310</w:t>
            </w:r>
          </w:p>
        </w:tc>
      </w:tr>
      <w:tr w:rsidR="001432C6" w:rsidRPr="004A595A" w:rsidTr="001432C6">
        <w:trPr>
          <w:trHeight w:val="390"/>
        </w:trPr>
        <w:tc>
          <w:tcPr>
            <w:tcW w:w="1159" w:type="pct"/>
            <w:tcBorders>
              <w:top w:val="nil"/>
              <w:left w:val="nil"/>
              <w:bottom w:val="nil"/>
              <w:right w:val="nil"/>
            </w:tcBorders>
            <w:shd w:val="clear" w:color="auto" w:fill="auto"/>
            <w:vAlign w:val="center"/>
            <w:hideMark/>
          </w:tcPr>
          <w:p w:rsidR="001432C6" w:rsidRPr="004A595A" w:rsidRDefault="001432C6" w:rsidP="001432C6">
            <w:pP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TIK</w:t>
            </w:r>
          </w:p>
        </w:tc>
        <w:tc>
          <w:tcPr>
            <w:tcW w:w="1161"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22 470</w:t>
            </w:r>
          </w:p>
        </w:tc>
        <w:tc>
          <w:tcPr>
            <w:tcW w:w="1250"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25 605</w:t>
            </w:r>
          </w:p>
        </w:tc>
        <w:tc>
          <w:tcPr>
            <w:tcW w:w="1430" w:type="pct"/>
            <w:tcBorders>
              <w:top w:val="nil"/>
              <w:left w:val="nil"/>
              <w:bottom w:val="nil"/>
              <w:right w:val="nil"/>
            </w:tcBorders>
            <w:shd w:val="clear" w:color="auto" w:fill="auto"/>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-3 135</w:t>
            </w:r>
          </w:p>
        </w:tc>
      </w:tr>
      <w:tr w:rsidR="001432C6" w:rsidRPr="004A595A" w:rsidTr="001432C6">
        <w:trPr>
          <w:trHeight w:val="405"/>
        </w:trPr>
        <w:tc>
          <w:tcPr>
            <w:tcW w:w="1159" w:type="pct"/>
            <w:tcBorders>
              <w:top w:val="nil"/>
              <w:left w:val="nil"/>
              <w:bottom w:val="single" w:sz="8" w:space="0" w:color="auto"/>
              <w:right w:val="nil"/>
            </w:tcBorders>
            <w:shd w:val="clear" w:color="000000" w:fill="CCCCCC"/>
            <w:vAlign w:val="center"/>
            <w:hideMark/>
          </w:tcPr>
          <w:p w:rsidR="001432C6" w:rsidRPr="004A595A" w:rsidRDefault="001432C6" w:rsidP="001432C6">
            <w:pPr>
              <w:rPr>
                <w:rFonts w:eastAsia="Times New Roman" w:cs="Times New Roman"/>
                <w:b/>
                <w:bCs/>
                <w:color w:val="000000"/>
                <w:sz w:val="22"/>
                <w:szCs w:val="22"/>
                <w:lang w:eastAsia="nb-NO"/>
              </w:rPr>
            </w:pPr>
            <w:r w:rsidRPr="004A595A">
              <w:rPr>
                <w:rFonts w:eastAsia="Times New Roman" w:cs="Times New Roman"/>
                <w:b/>
                <w:bCs/>
                <w:color w:val="000000"/>
                <w:sz w:val="22"/>
                <w:szCs w:val="22"/>
                <w:lang w:eastAsia="nb-NO"/>
              </w:rPr>
              <w:t>ØI</w:t>
            </w:r>
          </w:p>
        </w:tc>
        <w:tc>
          <w:tcPr>
            <w:tcW w:w="1161" w:type="pct"/>
            <w:tcBorders>
              <w:top w:val="nil"/>
              <w:left w:val="nil"/>
              <w:bottom w:val="single" w:sz="8" w:space="0" w:color="auto"/>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79 993</w:t>
            </w:r>
          </w:p>
        </w:tc>
        <w:tc>
          <w:tcPr>
            <w:tcW w:w="1250" w:type="pct"/>
            <w:tcBorders>
              <w:top w:val="nil"/>
              <w:left w:val="nil"/>
              <w:bottom w:val="single" w:sz="8" w:space="0" w:color="auto"/>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84 653</w:t>
            </w:r>
          </w:p>
        </w:tc>
        <w:tc>
          <w:tcPr>
            <w:tcW w:w="1430" w:type="pct"/>
            <w:tcBorders>
              <w:top w:val="nil"/>
              <w:left w:val="nil"/>
              <w:bottom w:val="single" w:sz="8" w:space="0" w:color="auto"/>
              <w:right w:val="nil"/>
            </w:tcBorders>
            <w:shd w:val="clear" w:color="000000" w:fill="CCCCCC"/>
            <w:vAlign w:val="center"/>
            <w:hideMark/>
          </w:tcPr>
          <w:p w:rsidR="001432C6" w:rsidRPr="004A595A" w:rsidRDefault="001432C6" w:rsidP="001432C6">
            <w:pPr>
              <w:jc w:val="center"/>
              <w:rPr>
                <w:rFonts w:eastAsia="Times New Roman" w:cs="Times New Roman"/>
                <w:color w:val="000000"/>
                <w:sz w:val="22"/>
                <w:szCs w:val="22"/>
                <w:lang w:eastAsia="nb-NO"/>
              </w:rPr>
            </w:pPr>
            <w:r w:rsidRPr="004A595A">
              <w:rPr>
                <w:rFonts w:eastAsia="Times New Roman" w:cs="Times New Roman"/>
                <w:color w:val="000000"/>
                <w:sz w:val="22"/>
                <w:szCs w:val="22"/>
                <w:lang w:eastAsia="nb-NO"/>
              </w:rPr>
              <w:t>-4 660</w:t>
            </w:r>
          </w:p>
        </w:tc>
      </w:tr>
    </w:tbl>
    <w:p w:rsidR="00A574D4" w:rsidRPr="00EC1134" w:rsidRDefault="00CB66AF" w:rsidP="00A574D4">
      <w:pPr>
        <w:pStyle w:val="BodyText"/>
        <w:rPr>
          <w:sz w:val="18"/>
          <w:lang w:val="nb-NO"/>
        </w:rPr>
      </w:pPr>
      <w:r w:rsidRPr="00EC1134">
        <w:rPr>
          <w:sz w:val="18"/>
          <w:lang w:val="nb-NO"/>
        </w:rPr>
        <w:t>Tilpasningsleddene er beregnet som differansen mellom budsjett for 2018 etter henholdsvis dagens og ny modell.</w:t>
      </w:r>
    </w:p>
    <w:p w:rsidR="007C4887" w:rsidRPr="00EC1134" w:rsidRDefault="00A574D4" w:rsidP="00A574D4">
      <w:pPr>
        <w:pStyle w:val="BodyText"/>
        <w:rPr>
          <w:lang w:val="nb-NO" w:eastAsia="en-US"/>
        </w:rPr>
      </w:pPr>
      <w:r w:rsidRPr="00EC1134">
        <w:rPr>
          <w:lang w:val="nb-NO" w:eastAsia="en-US"/>
        </w:rPr>
        <w:t>Hovedgrunnen til at tilpasningsleddene blir så store, er at plantallene i dagens modell avviker betydelig fra</w:t>
      </w:r>
      <w:r w:rsidR="00C92E13" w:rsidRPr="00EC1134">
        <w:rPr>
          <w:lang w:val="nb-NO" w:eastAsia="en-US"/>
        </w:rPr>
        <w:t xml:space="preserve"> opptaksrammene, særlig for Psykologisk institutt. Det er et resultat dels av en villet politikk, men også av en manglende justering i de senere år for økningene i opptaksrammene ved Psykologisk institutt</w:t>
      </w:r>
      <w:r w:rsidR="00A77A56">
        <w:rPr>
          <w:lang w:val="nb-NO" w:eastAsia="en-US"/>
        </w:rPr>
        <w:t>.</w:t>
      </w:r>
    </w:p>
    <w:p w:rsidR="00B53E63" w:rsidRPr="00EC1134" w:rsidRDefault="00EC1134" w:rsidP="00900B4F">
      <w:pPr>
        <w:pStyle w:val="BodyText"/>
        <w:rPr>
          <w:lang w:val="nb-NO"/>
        </w:rPr>
      </w:pPr>
      <w:r w:rsidRPr="00EC1134">
        <w:rPr>
          <w:lang w:val="nb-NO"/>
        </w:rPr>
        <w:fldChar w:fldCharType="begin"/>
      </w:r>
      <w:r w:rsidRPr="00EC1134">
        <w:rPr>
          <w:lang w:val="nb-NO"/>
        </w:rPr>
        <w:instrText xml:space="preserve"> REF _Ref511567745 \h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12</w:t>
      </w:r>
      <w:r w:rsidRPr="00EC1134">
        <w:rPr>
          <w:lang w:val="nb-NO"/>
        </w:rPr>
        <w:fldChar w:fldCharType="end"/>
      </w:r>
      <w:r w:rsidRPr="00EC1134">
        <w:rPr>
          <w:lang w:val="nb-NO"/>
        </w:rPr>
        <w:t xml:space="preserve"> </w:t>
      </w:r>
      <w:r w:rsidR="00631D2A" w:rsidRPr="00EC1134">
        <w:rPr>
          <w:lang w:val="nb-NO"/>
        </w:rPr>
        <w:t xml:space="preserve">viser endringer i </w:t>
      </w:r>
      <w:r w:rsidR="00900B4F" w:rsidRPr="00EC1134">
        <w:rPr>
          <w:lang w:val="nb-NO"/>
        </w:rPr>
        <w:t>studieplasser på</w:t>
      </w:r>
      <w:r w:rsidR="00631D2A" w:rsidRPr="00EC1134">
        <w:rPr>
          <w:lang w:val="nb-NO"/>
        </w:rPr>
        <w:t xml:space="preserve"> fakultetet pr. år i perioden. </w:t>
      </w:r>
      <w:r w:rsidR="00CB3AD7" w:rsidRPr="00EC1134">
        <w:rPr>
          <w:lang w:val="nb-NO"/>
        </w:rPr>
        <w:t>Fakultetet fikk økt opptaksrammen for bachelor med 6</w:t>
      </w:r>
      <w:r w:rsidR="00631D2A" w:rsidRPr="00EC1134">
        <w:rPr>
          <w:lang w:val="nb-NO"/>
        </w:rPr>
        <w:t xml:space="preserve">0 </w:t>
      </w:r>
      <w:r w:rsidR="00CB3AD7" w:rsidRPr="00EC1134">
        <w:rPr>
          <w:lang w:val="nb-NO"/>
        </w:rPr>
        <w:t>i 2009</w:t>
      </w:r>
      <w:r w:rsidR="00631D2A" w:rsidRPr="00EC1134">
        <w:rPr>
          <w:lang w:val="nb-NO"/>
        </w:rPr>
        <w:t xml:space="preserve"> i forbindelse med finanskrisen</w:t>
      </w:r>
      <w:r w:rsidR="00CB3AD7" w:rsidRPr="00EC1134">
        <w:rPr>
          <w:lang w:val="nb-NO"/>
        </w:rPr>
        <w:t>, noe som medførte 60 nye studieplasser pr. år i perioden 2009-2011 (</w:t>
      </w:r>
      <w:r w:rsidR="00631D2A" w:rsidRPr="00EC1134">
        <w:rPr>
          <w:lang w:val="nb-NO"/>
        </w:rPr>
        <w:t>fordi bac</w:t>
      </w:r>
      <w:r w:rsidR="00CB3AD7" w:rsidRPr="00EC1134">
        <w:rPr>
          <w:lang w:val="nb-NO"/>
        </w:rPr>
        <w:t>helorprogrammet er treårig, medførte utvidelsen av opptaksrammen en grad</w:t>
      </w:r>
      <w:r w:rsidRPr="00EC1134">
        <w:rPr>
          <w:lang w:val="nb-NO"/>
        </w:rPr>
        <w:t>vis økning av antallet studieplasser</w:t>
      </w:r>
      <w:r w:rsidR="00CB3AD7" w:rsidRPr="00EC1134">
        <w:rPr>
          <w:lang w:val="nb-NO"/>
        </w:rPr>
        <w:t xml:space="preserve"> over tre år); den økte rammen ble fordelt med 15 til ISV, 20 til PSI, 10 til SAI </w:t>
      </w:r>
      <w:r w:rsidRPr="00EC1134">
        <w:rPr>
          <w:lang w:val="nb-NO"/>
        </w:rPr>
        <w:t xml:space="preserve">og </w:t>
      </w:r>
      <w:r w:rsidR="00CB3AD7" w:rsidRPr="00EC1134">
        <w:rPr>
          <w:lang w:val="nb-NO"/>
        </w:rPr>
        <w:t>15 til ØI.</w:t>
      </w:r>
    </w:p>
    <w:p w:rsidR="00631D2A" w:rsidRPr="00EC1134" w:rsidRDefault="00631D2A" w:rsidP="00631D2A">
      <w:pPr>
        <w:pStyle w:val="Caption"/>
        <w:keepNext/>
        <w:rPr>
          <w:lang w:val="nb-NO"/>
        </w:rPr>
      </w:pPr>
      <w:bookmarkStart w:id="11" w:name="_Ref511567745"/>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12</w:t>
      </w:r>
      <w:r w:rsidRPr="00EC1134">
        <w:rPr>
          <w:lang w:val="nb-NO"/>
        </w:rPr>
        <w:fldChar w:fldCharType="end"/>
      </w:r>
      <w:bookmarkEnd w:id="11"/>
      <w:r w:rsidR="00900B4F" w:rsidRPr="00EC1134">
        <w:rPr>
          <w:lang w:val="nb-NO"/>
        </w:rPr>
        <w:t>: Endringer i studieplasser på fakultetet</w:t>
      </w:r>
      <w:r w:rsidRPr="00EC1134">
        <w:rPr>
          <w:lang w:val="nb-NO"/>
        </w:rPr>
        <w:t>, antall</w:t>
      </w:r>
    </w:p>
    <w:tbl>
      <w:tblPr>
        <w:tblW w:w="5000" w:type="pct"/>
        <w:tblCellMar>
          <w:left w:w="70" w:type="dxa"/>
          <w:right w:w="70" w:type="dxa"/>
        </w:tblCellMar>
        <w:tblLook w:val="04A0" w:firstRow="1" w:lastRow="0" w:firstColumn="1" w:lastColumn="0" w:noHBand="0" w:noVBand="1"/>
      </w:tblPr>
      <w:tblGrid>
        <w:gridCol w:w="1115"/>
        <w:gridCol w:w="804"/>
        <w:gridCol w:w="662"/>
        <w:gridCol w:w="851"/>
        <w:gridCol w:w="695"/>
        <w:gridCol w:w="662"/>
        <w:gridCol w:w="662"/>
        <w:gridCol w:w="1095"/>
        <w:gridCol w:w="734"/>
        <w:gridCol w:w="1019"/>
      </w:tblGrid>
      <w:tr w:rsidR="00631D2A" w:rsidRPr="00EC1134" w:rsidTr="00631D2A">
        <w:trPr>
          <w:trHeight w:val="315"/>
        </w:trPr>
        <w:tc>
          <w:tcPr>
            <w:tcW w:w="671"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Enhet</w:t>
            </w:r>
          </w:p>
        </w:tc>
        <w:tc>
          <w:tcPr>
            <w:tcW w:w="484"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2010</w:t>
            </w:r>
          </w:p>
        </w:tc>
        <w:tc>
          <w:tcPr>
            <w:tcW w:w="399"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2011</w:t>
            </w:r>
          </w:p>
        </w:tc>
        <w:tc>
          <w:tcPr>
            <w:tcW w:w="513"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2012</w:t>
            </w:r>
          </w:p>
        </w:tc>
        <w:tc>
          <w:tcPr>
            <w:tcW w:w="419"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2013</w:t>
            </w:r>
          </w:p>
        </w:tc>
        <w:tc>
          <w:tcPr>
            <w:tcW w:w="399"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2014</w:t>
            </w:r>
          </w:p>
        </w:tc>
        <w:tc>
          <w:tcPr>
            <w:tcW w:w="399"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2015</w:t>
            </w:r>
          </w:p>
        </w:tc>
        <w:tc>
          <w:tcPr>
            <w:tcW w:w="660"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2016</w:t>
            </w:r>
          </w:p>
        </w:tc>
        <w:tc>
          <w:tcPr>
            <w:tcW w:w="442"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2017</w:t>
            </w:r>
          </w:p>
        </w:tc>
        <w:tc>
          <w:tcPr>
            <w:tcW w:w="616" w:type="pct"/>
            <w:tcBorders>
              <w:top w:val="single" w:sz="8" w:space="0" w:color="000000"/>
              <w:left w:val="nil"/>
              <w:bottom w:val="single" w:sz="8" w:space="0" w:color="000000"/>
              <w:right w:val="nil"/>
            </w:tcBorders>
            <w:shd w:val="clear" w:color="auto" w:fill="auto"/>
            <w:vAlign w:val="center"/>
            <w:hideMark/>
          </w:tcPr>
          <w:p w:rsidR="00631D2A" w:rsidRPr="00EC1134" w:rsidRDefault="00631D2A"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2018</w:t>
            </w:r>
          </w:p>
        </w:tc>
      </w:tr>
      <w:tr w:rsidR="00631D2A" w:rsidRPr="00EC1134" w:rsidTr="00631D2A">
        <w:trPr>
          <w:trHeight w:val="770"/>
        </w:trPr>
        <w:tc>
          <w:tcPr>
            <w:tcW w:w="671" w:type="pct"/>
            <w:tcBorders>
              <w:top w:val="nil"/>
              <w:left w:val="nil"/>
              <w:bottom w:val="nil"/>
              <w:right w:val="nil"/>
            </w:tcBorders>
            <w:shd w:val="clear" w:color="000000" w:fill="CCCCCC"/>
            <w:vAlign w:val="center"/>
            <w:hideMark/>
          </w:tcPr>
          <w:p w:rsidR="00631D2A" w:rsidRPr="00EC1134" w:rsidRDefault="00631D2A"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Bachelor</w:t>
            </w:r>
          </w:p>
        </w:tc>
        <w:tc>
          <w:tcPr>
            <w:tcW w:w="484"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60</w:t>
            </w:r>
          </w:p>
        </w:tc>
        <w:tc>
          <w:tcPr>
            <w:tcW w:w="399"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60</w:t>
            </w:r>
          </w:p>
        </w:tc>
        <w:tc>
          <w:tcPr>
            <w:tcW w:w="513"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419"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399"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399"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660"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442"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616"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r>
      <w:tr w:rsidR="00631D2A" w:rsidRPr="00EC1134" w:rsidTr="00631D2A">
        <w:trPr>
          <w:trHeight w:val="345"/>
        </w:trPr>
        <w:tc>
          <w:tcPr>
            <w:tcW w:w="671" w:type="pct"/>
            <w:tcBorders>
              <w:top w:val="nil"/>
              <w:left w:val="nil"/>
              <w:bottom w:val="nil"/>
              <w:right w:val="nil"/>
            </w:tcBorders>
            <w:shd w:val="clear" w:color="auto" w:fill="auto"/>
            <w:vAlign w:val="center"/>
            <w:hideMark/>
          </w:tcPr>
          <w:p w:rsidR="00631D2A" w:rsidRPr="00EC1134" w:rsidRDefault="00631D2A"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Master</w:t>
            </w:r>
          </w:p>
        </w:tc>
        <w:tc>
          <w:tcPr>
            <w:tcW w:w="484"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399"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30</w:t>
            </w:r>
          </w:p>
        </w:tc>
        <w:tc>
          <w:tcPr>
            <w:tcW w:w="513"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30</w:t>
            </w:r>
          </w:p>
        </w:tc>
        <w:tc>
          <w:tcPr>
            <w:tcW w:w="419"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399"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20</w:t>
            </w:r>
          </w:p>
        </w:tc>
        <w:tc>
          <w:tcPr>
            <w:tcW w:w="399"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10</w:t>
            </w:r>
          </w:p>
        </w:tc>
        <w:tc>
          <w:tcPr>
            <w:tcW w:w="660"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442"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616" w:type="pct"/>
            <w:tcBorders>
              <w:top w:val="nil"/>
              <w:left w:val="nil"/>
              <w:bottom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r>
      <w:tr w:rsidR="00631D2A" w:rsidRPr="00EC1134" w:rsidTr="00631D2A">
        <w:trPr>
          <w:trHeight w:val="345"/>
        </w:trPr>
        <w:tc>
          <w:tcPr>
            <w:tcW w:w="671" w:type="pct"/>
            <w:tcBorders>
              <w:top w:val="nil"/>
              <w:left w:val="nil"/>
              <w:bottom w:val="nil"/>
              <w:right w:val="nil"/>
            </w:tcBorders>
            <w:shd w:val="clear" w:color="000000" w:fill="CCCCCC"/>
            <w:vAlign w:val="center"/>
            <w:hideMark/>
          </w:tcPr>
          <w:p w:rsidR="00631D2A" w:rsidRPr="00EC1134" w:rsidRDefault="00631D2A"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Profesjon</w:t>
            </w:r>
          </w:p>
        </w:tc>
        <w:tc>
          <w:tcPr>
            <w:tcW w:w="484"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10</w:t>
            </w:r>
          </w:p>
        </w:tc>
        <w:tc>
          <w:tcPr>
            <w:tcW w:w="399"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20</w:t>
            </w:r>
          </w:p>
        </w:tc>
        <w:tc>
          <w:tcPr>
            <w:tcW w:w="513"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30</w:t>
            </w:r>
          </w:p>
        </w:tc>
        <w:tc>
          <w:tcPr>
            <w:tcW w:w="419"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30</w:t>
            </w:r>
          </w:p>
        </w:tc>
        <w:tc>
          <w:tcPr>
            <w:tcW w:w="399"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20</w:t>
            </w:r>
          </w:p>
        </w:tc>
        <w:tc>
          <w:tcPr>
            <w:tcW w:w="399"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20</w:t>
            </w:r>
          </w:p>
        </w:tc>
        <w:tc>
          <w:tcPr>
            <w:tcW w:w="660"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25</w:t>
            </w:r>
          </w:p>
        </w:tc>
        <w:tc>
          <w:tcPr>
            <w:tcW w:w="442"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15</w:t>
            </w:r>
          </w:p>
        </w:tc>
        <w:tc>
          <w:tcPr>
            <w:tcW w:w="616" w:type="pct"/>
            <w:tcBorders>
              <w:top w:val="nil"/>
              <w:left w:val="nil"/>
              <w:bottom w:val="nil"/>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r>
      <w:tr w:rsidR="00631D2A" w:rsidRPr="00EC1134" w:rsidTr="00631D2A">
        <w:trPr>
          <w:trHeight w:val="345"/>
        </w:trPr>
        <w:tc>
          <w:tcPr>
            <w:tcW w:w="671" w:type="pct"/>
            <w:tcBorders>
              <w:top w:val="nil"/>
              <w:left w:val="nil"/>
              <w:right w:val="nil"/>
            </w:tcBorders>
            <w:shd w:val="clear" w:color="auto" w:fill="auto"/>
            <w:vAlign w:val="center"/>
            <w:hideMark/>
          </w:tcPr>
          <w:p w:rsidR="00631D2A" w:rsidRPr="00EC1134" w:rsidRDefault="00631D2A"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Lektor D</w:t>
            </w:r>
          </w:p>
        </w:tc>
        <w:tc>
          <w:tcPr>
            <w:tcW w:w="484"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399"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7</w:t>
            </w:r>
          </w:p>
        </w:tc>
        <w:tc>
          <w:tcPr>
            <w:tcW w:w="513"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8</w:t>
            </w:r>
          </w:p>
        </w:tc>
        <w:tc>
          <w:tcPr>
            <w:tcW w:w="419"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8</w:t>
            </w:r>
          </w:p>
        </w:tc>
        <w:tc>
          <w:tcPr>
            <w:tcW w:w="399"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399"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660"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p>
        </w:tc>
        <w:tc>
          <w:tcPr>
            <w:tcW w:w="442"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616" w:type="pct"/>
            <w:tcBorders>
              <w:top w:val="nil"/>
              <w:left w:val="nil"/>
              <w:right w:val="nil"/>
            </w:tcBorders>
            <w:shd w:val="clear" w:color="auto" w:fill="auto"/>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r>
      <w:tr w:rsidR="00631D2A" w:rsidRPr="00EC1134" w:rsidTr="00631D2A">
        <w:trPr>
          <w:trHeight w:val="345"/>
        </w:trPr>
        <w:tc>
          <w:tcPr>
            <w:tcW w:w="671" w:type="pct"/>
            <w:tcBorders>
              <w:top w:val="nil"/>
              <w:left w:val="nil"/>
              <w:bottom w:val="single" w:sz="4" w:space="0" w:color="auto"/>
              <w:right w:val="nil"/>
            </w:tcBorders>
            <w:shd w:val="clear" w:color="000000" w:fill="CCCCCC"/>
            <w:vAlign w:val="center"/>
            <w:hideMark/>
          </w:tcPr>
          <w:p w:rsidR="00631D2A" w:rsidRPr="00EC1134" w:rsidRDefault="00631D2A"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Lektor E</w:t>
            </w:r>
          </w:p>
        </w:tc>
        <w:tc>
          <w:tcPr>
            <w:tcW w:w="484"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399"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513"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419"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399"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399"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660"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442"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616" w:type="pct"/>
            <w:tcBorders>
              <w:top w:val="nil"/>
              <w:left w:val="nil"/>
              <w:bottom w:val="single" w:sz="4" w:space="0" w:color="auto"/>
              <w:right w:val="nil"/>
            </w:tcBorders>
            <w:shd w:val="clear" w:color="000000" w:fill="CCCCCC"/>
            <w:vAlign w:val="center"/>
            <w:hideMark/>
          </w:tcPr>
          <w:p w:rsidR="00631D2A" w:rsidRPr="00EC1134" w:rsidRDefault="00631D2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r>
    </w:tbl>
    <w:p w:rsidR="00900B4F" w:rsidRPr="00EC1134" w:rsidRDefault="00900B4F" w:rsidP="00900B4F">
      <w:pPr>
        <w:pStyle w:val="BodyText"/>
        <w:rPr>
          <w:sz w:val="18"/>
          <w:lang w:val="nb-NO"/>
        </w:rPr>
      </w:pPr>
    </w:p>
    <w:p w:rsidR="00900B4F" w:rsidRPr="00EC1134" w:rsidRDefault="00900B4F" w:rsidP="00900B4F">
      <w:pPr>
        <w:pStyle w:val="BodyText"/>
        <w:rPr>
          <w:lang w:val="nb-NO"/>
        </w:rPr>
      </w:pPr>
      <w:r w:rsidRPr="00EC1134">
        <w:rPr>
          <w:lang w:val="nb-NO"/>
        </w:rPr>
        <w:t>Masterprogrammet OLA ble startet i 2011 med en opptaksramme på 30, noe som medførte en økning på 30 studieplasser i 2011 og 2012. I 2014 og 2015 fikk fakultetet tilført henholdsvis 20 og 10 studieplasser på master; de ble fordelt ved en økning av opptaksrammene for henholdsvis OLA og masterprogrammet i psykologi.</w:t>
      </w:r>
    </w:p>
    <w:p w:rsidR="00900B4F" w:rsidRPr="00EC1134" w:rsidRDefault="00900B4F" w:rsidP="00900B4F">
      <w:pPr>
        <w:pStyle w:val="BodyText"/>
        <w:rPr>
          <w:lang w:val="nb-NO"/>
        </w:rPr>
      </w:pPr>
      <w:r w:rsidRPr="00EC1134">
        <w:rPr>
          <w:lang w:val="nb-NO"/>
        </w:rPr>
        <w:t>Profesjonsstudiet i psykologi er tildelt økte opptaksrammer – og dermed flere studieplasser – i fire omganger, med 10 i 2009, ytterligere 10 i 2011 og 2012 og enda 5 i 2016; antallet studieplasser vil fortsette å øke frem til 2021 som følge av den siste utvidelsen.</w:t>
      </w:r>
    </w:p>
    <w:p w:rsidR="00900B4F" w:rsidRPr="00EC1134" w:rsidRDefault="00900B4F" w:rsidP="00900B4F">
      <w:pPr>
        <w:pStyle w:val="BodyText"/>
        <w:rPr>
          <w:lang w:val="nb-NO"/>
        </w:rPr>
      </w:pPr>
      <w:r w:rsidRPr="00EC1134">
        <w:rPr>
          <w:lang w:val="nb-NO"/>
        </w:rPr>
        <w:t xml:space="preserve">Det </w:t>
      </w:r>
      <w:r w:rsidR="00652CEF">
        <w:rPr>
          <w:lang w:val="nb-NO"/>
        </w:rPr>
        <w:t>fem</w:t>
      </w:r>
      <w:r w:rsidRPr="00EC1134">
        <w:rPr>
          <w:lang w:val="nb-NO"/>
        </w:rPr>
        <w:t>årige lektorprogrammet er tildelt flere studieplasser til og med 2016 (fra 2011 har Kunnskapsdepartementet endre kategorisering av lektorprogrammet).</w:t>
      </w:r>
    </w:p>
    <w:p w:rsidR="00B53E63" w:rsidRPr="00EC1134" w:rsidRDefault="00900B4F" w:rsidP="00B53E63">
      <w:pPr>
        <w:pStyle w:val="BodyText"/>
        <w:rPr>
          <w:lang w:val="nb-NO"/>
        </w:rPr>
      </w:pPr>
      <w:r w:rsidRPr="00EC1134">
        <w:rPr>
          <w:lang w:val="nb-NO"/>
        </w:rPr>
        <w:fldChar w:fldCharType="begin"/>
      </w:r>
      <w:r w:rsidRPr="00EC1134">
        <w:rPr>
          <w:lang w:val="nb-NO"/>
        </w:rPr>
        <w:instrText xml:space="preserve"> REF _Ref511059659 \h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13</w:t>
      </w:r>
      <w:r w:rsidRPr="00EC1134">
        <w:rPr>
          <w:lang w:val="nb-NO"/>
        </w:rPr>
        <w:fldChar w:fldCharType="end"/>
      </w:r>
      <w:r w:rsidR="00952391" w:rsidRPr="00EC1134">
        <w:rPr>
          <w:lang w:val="nb-NO"/>
        </w:rPr>
        <w:t xml:space="preserve"> viser </w:t>
      </w:r>
      <w:r w:rsidRPr="00EC1134">
        <w:rPr>
          <w:lang w:val="nb-NO"/>
        </w:rPr>
        <w:t>den økonomiske virkningen av studieplasstildeling akkumulert over tid og beregnet i fast 2018-kroner</w:t>
      </w:r>
      <w:r w:rsidR="00E33E36" w:rsidRPr="00EC1134">
        <w:rPr>
          <w:lang w:val="nb-NO"/>
        </w:rPr>
        <w:t>. Gjennom perioden har fakultetet fått en varig økning i studieplassinntektene på 5 millioner kroner som følge av et økt antall studieplasser på bachelor; eller, om en vil, studieplassinntektene i 2018 ville vært 8 millioner kroner lave</w:t>
      </w:r>
      <w:r w:rsidR="00EC1134" w:rsidRPr="00EC1134">
        <w:rPr>
          <w:lang w:val="nb-NO"/>
        </w:rPr>
        <w:t>re om fakultetet ikke hadde fått</w:t>
      </w:r>
      <w:r w:rsidR="00E33E36" w:rsidRPr="00EC1134">
        <w:rPr>
          <w:lang w:val="nb-NO"/>
        </w:rPr>
        <w:t xml:space="preserve"> tilført flere bachelorstudieplasser i perioden. Tilsvarende tall er 6 millioner kroner for masterprogrammene</w:t>
      </w:r>
      <w:r w:rsidR="0053657A" w:rsidRPr="00EC1134">
        <w:rPr>
          <w:lang w:val="nb-NO"/>
        </w:rPr>
        <w:t>, 23</w:t>
      </w:r>
      <w:r w:rsidR="00E33E36" w:rsidRPr="00EC1134">
        <w:rPr>
          <w:lang w:val="nb-NO"/>
        </w:rPr>
        <w:t xml:space="preserve"> millioner kroner for profesjonsstudiet og 3 millioner for lektorprogrammet.</w:t>
      </w:r>
    </w:p>
    <w:p w:rsidR="00B53E63" w:rsidRPr="00EC1134" w:rsidRDefault="00B53E63" w:rsidP="00B53E63">
      <w:pPr>
        <w:pStyle w:val="Caption"/>
        <w:keepNext/>
        <w:rPr>
          <w:lang w:val="nb-NO"/>
        </w:rPr>
      </w:pPr>
      <w:bookmarkStart w:id="12" w:name="_Ref511059659"/>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13</w:t>
      </w:r>
      <w:r w:rsidRPr="00EC1134">
        <w:rPr>
          <w:lang w:val="nb-NO"/>
        </w:rPr>
        <w:fldChar w:fldCharType="end"/>
      </w:r>
      <w:bookmarkEnd w:id="12"/>
      <w:r w:rsidRPr="00EC1134">
        <w:rPr>
          <w:lang w:val="nb-NO"/>
        </w:rPr>
        <w:t xml:space="preserve">: Endringer i </w:t>
      </w:r>
      <w:r w:rsidR="00900B4F" w:rsidRPr="00EC1134">
        <w:rPr>
          <w:lang w:val="nb-NO"/>
        </w:rPr>
        <w:t>studieplasser på fakultetet</w:t>
      </w:r>
      <w:r w:rsidRPr="00EC1134">
        <w:rPr>
          <w:lang w:val="nb-NO"/>
        </w:rPr>
        <w:t xml:space="preserve">, </w:t>
      </w:r>
      <w:r w:rsidR="00900B4F" w:rsidRPr="00EC1134">
        <w:rPr>
          <w:lang w:val="nb-NO"/>
        </w:rPr>
        <w:t>mill. 2018-kroner akkumulert</w:t>
      </w:r>
    </w:p>
    <w:tbl>
      <w:tblPr>
        <w:tblW w:w="5000" w:type="pct"/>
        <w:tblCellMar>
          <w:left w:w="70" w:type="dxa"/>
          <w:right w:w="70" w:type="dxa"/>
        </w:tblCellMar>
        <w:tblLook w:val="04A0" w:firstRow="1" w:lastRow="0" w:firstColumn="1" w:lastColumn="0" w:noHBand="0" w:noVBand="1"/>
      </w:tblPr>
      <w:tblGrid>
        <w:gridCol w:w="1116"/>
        <w:gridCol w:w="799"/>
        <w:gridCol w:w="799"/>
        <w:gridCol w:w="798"/>
        <w:gridCol w:w="798"/>
        <w:gridCol w:w="798"/>
        <w:gridCol w:w="798"/>
        <w:gridCol w:w="798"/>
        <w:gridCol w:w="798"/>
        <w:gridCol w:w="797"/>
      </w:tblGrid>
      <w:tr w:rsidR="00B53E63" w:rsidRPr="00EC1134" w:rsidTr="0066551F">
        <w:trPr>
          <w:trHeight w:val="315"/>
        </w:trPr>
        <w:tc>
          <w:tcPr>
            <w:tcW w:w="672"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Enhet</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2010</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2011</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2012</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2013</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2014</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2015</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2016</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2017</w:t>
            </w:r>
          </w:p>
        </w:tc>
        <w:tc>
          <w:tcPr>
            <w:tcW w:w="481" w:type="pct"/>
            <w:tcBorders>
              <w:top w:val="single" w:sz="8" w:space="0" w:color="000000"/>
              <w:left w:val="nil"/>
              <w:bottom w:val="single" w:sz="8" w:space="0" w:color="000000"/>
              <w:right w:val="nil"/>
            </w:tcBorders>
            <w:shd w:val="clear" w:color="auto" w:fill="auto"/>
            <w:vAlign w:val="center"/>
            <w:hideMark/>
          </w:tcPr>
          <w:p w:rsidR="00B53E63" w:rsidRPr="00EC1134" w:rsidRDefault="00B53E63" w:rsidP="00502EB4">
            <w:pPr>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2018</w:t>
            </w:r>
          </w:p>
        </w:tc>
      </w:tr>
      <w:tr w:rsidR="00B53E63" w:rsidRPr="00EC1134" w:rsidTr="0066551F">
        <w:trPr>
          <w:trHeight w:val="770"/>
        </w:trPr>
        <w:tc>
          <w:tcPr>
            <w:tcW w:w="672" w:type="pct"/>
            <w:tcBorders>
              <w:top w:val="nil"/>
              <w:left w:val="nil"/>
              <w:bottom w:val="nil"/>
              <w:right w:val="nil"/>
            </w:tcBorders>
            <w:shd w:val="clear" w:color="000000" w:fill="CCCCCC"/>
            <w:vAlign w:val="center"/>
            <w:hideMark/>
          </w:tcPr>
          <w:p w:rsidR="00B53E63" w:rsidRPr="00EC1134" w:rsidRDefault="00B53E63"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Bachelor</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481" w:type="pct"/>
            <w:tcBorders>
              <w:top w:val="nil"/>
              <w:left w:val="nil"/>
              <w:bottom w:val="nil"/>
              <w:right w:val="nil"/>
            </w:tcBorders>
            <w:shd w:val="clear" w:color="000000" w:fill="CCCCCC"/>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r>
      <w:tr w:rsidR="00B53E63" w:rsidRPr="00EC1134" w:rsidTr="0066551F">
        <w:trPr>
          <w:trHeight w:val="345"/>
        </w:trPr>
        <w:tc>
          <w:tcPr>
            <w:tcW w:w="672" w:type="pct"/>
            <w:tcBorders>
              <w:top w:val="nil"/>
              <w:left w:val="nil"/>
              <w:bottom w:val="nil"/>
              <w:right w:val="nil"/>
            </w:tcBorders>
            <w:shd w:val="clear" w:color="auto" w:fill="auto"/>
            <w:vAlign w:val="center"/>
            <w:hideMark/>
          </w:tcPr>
          <w:p w:rsidR="00B53E63" w:rsidRPr="00EC1134" w:rsidRDefault="00B53E63"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Master</w:t>
            </w:r>
          </w:p>
        </w:tc>
        <w:tc>
          <w:tcPr>
            <w:tcW w:w="481" w:type="pct"/>
            <w:tcBorders>
              <w:top w:val="nil"/>
              <w:left w:val="nil"/>
              <w:bottom w:val="nil"/>
              <w:right w:val="nil"/>
            </w:tcBorders>
            <w:shd w:val="clear" w:color="auto" w:fill="auto"/>
            <w:vAlign w:val="center"/>
            <w:hideMark/>
          </w:tcPr>
          <w:p w:rsidR="00B53E63" w:rsidRPr="00EC1134" w:rsidRDefault="00B53E63"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w:t>
            </w:r>
          </w:p>
        </w:tc>
        <w:tc>
          <w:tcPr>
            <w:tcW w:w="481" w:type="pct"/>
            <w:tcBorders>
              <w:top w:val="nil"/>
              <w:left w:val="nil"/>
              <w:bottom w:val="nil"/>
              <w:right w:val="nil"/>
            </w:tcBorders>
            <w:shd w:val="clear" w:color="auto" w:fill="auto"/>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p>
        </w:tc>
        <w:tc>
          <w:tcPr>
            <w:tcW w:w="481" w:type="pct"/>
            <w:tcBorders>
              <w:top w:val="nil"/>
              <w:left w:val="nil"/>
              <w:bottom w:val="nil"/>
              <w:right w:val="nil"/>
            </w:tcBorders>
            <w:shd w:val="clear" w:color="auto" w:fill="auto"/>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4</w:t>
            </w:r>
          </w:p>
        </w:tc>
        <w:tc>
          <w:tcPr>
            <w:tcW w:w="481" w:type="pct"/>
            <w:tcBorders>
              <w:top w:val="nil"/>
              <w:left w:val="nil"/>
              <w:bottom w:val="nil"/>
              <w:right w:val="nil"/>
            </w:tcBorders>
            <w:shd w:val="clear" w:color="auto" w:fill="auto"/>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4</w:t>
            </w:r>
          </w:p>
        </w:tc>
        <w:tc>
          <w:tcPr>
            <w:tcW w:w="481" w:type="pct"/>
            <w:tcBorders>
              <w:top w:val="nil"/>
              <w:left w:val="nil"/>
              <w:bottom w:val="nil"/>
              <w:right w:val="nil"/>
            </w:tcBorders>
            <w:shd w:val="clear" w:color="auto" w:fill="auto"/>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5</w:t>
            </w:r>
          </w:p>
        </w:tc>
        <w:tc>
          <w:tcPr>
            <w:tcW w:w="481" w:type="pct"/>
            <w:tcBorders>
              <w:top w:val="nil"/>
              <w:left w:val="nil"/>
              <w:bottom w:val="nil"/>
              <w:right w:val="nil"/>
            </w:tcBorders>
            <w:shd w:val="clear" w:color="auto" w:fill="auto"/>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p>
        </w:tc>
        <w:tc>
          <w:tcPr>
            <w:tcW w:w="481" w:type="pct"/>
            <w:tcBorders>
              <w:top w:val="nil"/>
              <w:left w:val="nil"/>
              <w:bottom w:val="nil"/>
              <w:right w:val="nil"/>
            </w:tcBorders>
            <w:shd w:val="clear" w:color="auto" w:fill="auto"/>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p>
        </w:tc>
        <w:tc>
          <w:tcPr>
            <w:tcW w:w="481" w:type="pct"/>
            <w:tcBorders>
              <w:top w:val="nil"/>
              <w:left w:val="nil"/>
              <w:bottom w:val="nil"/>
              <w:right w:val="nil"/>
            </w:tcBorders>
            <w:shd w:val="clear" w:color="auto" w:fill="auto"/>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p>
        </w:tc>
        <w:tc>
          <w:tcPr>
            <w:tcW w:w="481" w:type="pct"/>
            <w:tcBorders>
              <w:top w:val="nil"/>
              <w:left w:val="nil"/>
              <w:bottom w:val="nil"/>
              <w:right w:val="nil"/>
            </w:tcBorders>
            <w:shd w:val="clear" w:color="auto" w:fill="auto"/>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p>
        </w:tc>
      </w:tr>
      <w:tr w:rsidR="00B53E63" w:rsidRPr="00EC1134" w:rsidTr="0066551F">
        <w:trPr>
          <w:trHeight w:val="345"/>
        </w:trPr>
        <w:tc>
          <w:tcPr>
            <w:tcW w:w="672" w:type="pct"/>
            <w:tcBorders>
              <w:top w:val="nil"/>
              <w:left w:val="nil"/>
              <w:right w:val="nil"/>
            </w:tcBorders>
            <w:shd w:val="clear" w:color="000000" w:fill="CCCCCC"/>
            <w:vAlign w:val="center"/>
            <w:hideMark/>
          </w:tcPr>
          <w:p w:rsidR="00B53E63" w:rsidRPr="00EC1134" w:rsidRDefault="00B53E63"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Profesjon</w:t>
            </w:r>
          </w:p>
        </w:tc>
        <w:tc>
          <w:tcPr>
            <w:tcW w:w="481" w:type="pct"/>
            <w:tcBorders>
              <w:top w:val="nil"/>
              <w:left w:val="nil"/>
              <w:right w:val="nil"/>
            </w:tcBorders>
            <w:shd w:val="clear" w:color="000000" w:fill="CCCCCC"/>
            <w:vAlign w:val="center"/>
            <w:hideMark/>
          </w:tcPr>
          <w:p w:rsidR="00B53E63" w:rsidRPr="00EC1134" w:rsidRDefault="0053657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p>
        </w:tc>
        <w:tc>
          <w:tcPr>
            <w:tcW w:w="481" w:type="pct"/>
            <w:tcBorders>
              <w:top w:val="nil"/>
              <w:left w:val="nil"/>
              <w:right w:val="nil"/>
            </w:tcBorders>
            <w:shd w:val="clear" w:color="000000" w:fill="CCCCCC"/>
            <w:vAlign w:val="center"/>
            <w:hideMark/>
          </w:tcPr>
          <w:p w:rsidR="00B53E63" w:rsidRPr="00EC1134" w:rsidRDefault="0053657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4</w:t>
            </w:r>
          </w:p>
        </w:tc>
        <w:tc>
          <w:tcPr>
            <w:tcW w:w="481" w:type="pct"/>
            <w:tcBorders>
              <w:top w:val="nil"/>
              <w:left w:val="nil"/>
              <w:right w:val="nil"/>
            </w:tcBorders>
            <w:shd w:val="clear" w:color="000000" w:fill="CCCCCC"/>
            <w:vAlign w:val="center"/>
            <w:hideMark/>
          </w:tcPr>
          <w:p w:rsidR="00B53E63" w:rsidRPr="00EC1134" w:rsidRDefault="0053657A"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8</w:t>
            </w:r>
          </w:p>
        </w:tc>
        <w:tc>
          <w:tcPr>
            <w:tcW w:w="481" w:type="pct"/>
            <w:tcBorders>
              <w:top w:val="nil"/>
              <w:left w:val="nil"/>
              <w:right w:val="nil"/>
            </w:tcBorders>
            <w:shd w:val="clear" w:color="000000" w:fill="CCCCCC"/>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r w:rsidR="0053657A" w:rsidRPr="00EC1134">
              <w:rPr>
                <w:rFonts w:eastAsia="Times New Roman" w:cs="Times New Roman"/>
                <w:color w:val="000000"/>
                <w:sz w:val="22"/>
                <w:szCs w:val="22"/>
                <w:lang w:eastAsia="nb-NO"/>
              </w:rPr>
              <w:t>2</w:t>
            </w:r>
          </w:p>
        </w:tc>
        <w:tc>
          <w:tcPr>
            <w:tcW w:w="481" w:type="pct"/>
            <w:tcBorders>
              <w:top w:val="nil"/>
              <w:left w:val="nil"/>
              <w:right w:val="nil"/>
            </w:tcBorders>
            <w:shd w:val="clear" w:color="000000" w:fill="CCCCCC"/>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r w:rsidR="0053657A" w:rsidRPr="00EC1134">
              <w:rPr>
                <w:rFonts w:eastAsia="Times New Roman" w:cs="Times New Roman"/>
                <w:color w:val="000000"/>
                <w:sz w:val="22"/>
                <w:szCs w:val="22"/>
                <w:lang w:eastAsia="nb-NO"/>
              </w:rPr>
              <w:t>5</w:t>
            </w:r>
          </w:p>
        </w:tc>
        <w:tc>
          <w:tcPr>
            <w:tcW w:w="481" w:type="pct"/>
            <w:tcBorders>
              <w:top w:val="nil"/>
              <w:left w:val="nil"/>
              <w:right w:val="nil"/>
            </w:tcBorders>
            <w:shd w:val="clear" w:color="000000" w:fill="CCCCCC"/>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r w:rsidR="0053657A" w:rsidRPr="00EC1134">
              <w:rPr>
                <w:rFonts w:eastAsia="Times New Roman" w:cs="Times New Roman"/>
                <w:color w:val="000000"/>
                <w:sz w:val="22"/>
                <w:szCs w:val="22"/>
                <w:lang w:eastAsia="nb-NO"/>
              </w:rPr>
              <w:t>7</w:t>
            </w:r>
          </w:p>
        </w:tc>
        <w:tc>
          <w:tcPr>
            <w:tcW w:w="481" w:type="pct"/>
            <w:tcBorders>
              <w:top w:val="nil"/>
              <w:left w:val="nil"/>
              <w:right w:val="nil"/>
            </w:tcBorders>
            <w:shd w:val="clear" w:color="000000" w:fill="CCCCCC"/>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r w:rsidR="0053657A" w:rsidRPr="00EC1134">
              <w:rPr>
                <w:rFonts w:eastAsia="Times New Roman" w:cs="Times New Roman"/>
                <w:color w:val="000000"/>
                <w:sz w:val="22"/>
                <w:szCs w:val="22"/>
                <w:lang w:eastAsia="nb-NO"/>
              </w:rPr>
              <w:t>1</w:t>
            </w:r>
          </w:p>
        </w:tc>
        <w:tc>
          <w:tcPr>
            <w:tcW w:w="481" w:type="pct"/>
            <w:tcBorders>
              <w:top w:val="nil"/>
              <w:left w:val="nil"/>
              <w:right w:val="nil"/>
            </w:tcBorders>
            <w:shd w:val="clear" w:color="000000" w:fill="CCCCCC"/>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r w:rsidR="0053657A" w:rsidRPr="00EC1134">
              <w:rPr>
                <w:rFonts w:eastAsia="Times New Roman" w:cs="Times New Roman"/>
                <w:color w:val="000000"/>
                <w:sz w:val="22"/>
                <w:szCs w:val="22"/>
                <w:lang w:eastAsia="nb-NO"/>
              </w:rPr>
              <w:t>3</w:t>
            </w:r>
          </w:p>
        </w:tc>
        <w:tc>
          <w:tcPr>
            <w:tcW w:w="481" w:type="pct"/>
            <w:tcBorders>
              <w:top w:val="nil"/>
              <w:left w:val="nil"/>
              <w:right w:val="nil"/>
            </w:tcBorders>
            <w:shd w:val="clear" w:color="000000" w:fill="CCCCCC"/>
            <w:vAlign w:val="center"/>
            <w:hideMark/>
          </w:tcPr>
          <w:p w:rsidR="00B53E63" w:rsidRPr="00EC1134" w:rsidRDefault="00900B4F"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r w:rsidR="0053657A" w:rsidRPr="00EC1134">
              <w:rPr>
                <w:rFonts w:eastAsia="Times New Roman" w:cs="Times New Roman"/>
                <w:color w:val="000000"/>
                <w:sz w:val="22"/>
                <w:szCs w:val="22"/>
                <w:lang w:eastAsia="nb-NO"/>
              </w:rPr>
              <w:t>3</w:t>
            </w:r>
          </w:p>
        </w:tc>
      </w:tr>
      <w:tr w:rsidR="00B53E63" w:rsidRPr="00EC1134" w:rsidTr="0066551F">
        <w:trPr>
          <w:trHeight w:val="345"/>
        </w:trPr>
        <w:tc>
          <w:tcPr>
            <w:tcW w:w="672" w:type="pct"/>
            <w:tcBorders>
              <w:top w:val="nil"/>
              <w:left w:val="nil"/>
              <w:bottom w:val="single" w:sz="4" w:space="0" w:color="auto"/>
              <w:right w:val="nil"/>
            </w:tcBorders>
            <w:shd w:val="clear" w:color="auto" w:fill="auto"/>
            <w:vAlign w:val="center"/>
            <w:hideMark/>
          </w:tcPr>
          <w:p w:rsidR="00B53E63" w:rsidRPr="00EC1134" w:rsidRDefault="00B53E63" w:rsidP="00502EB4">
            <w:pPr>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Lektor</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2</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481" w:type="pct"/>
            <w:tcBorders>
              <w:top w:val="nil"/>
              <w:left w:val="nil"/>
              <w:bottom w:val="single" w:sz="4" w:space="0" w:color="auto"/>
              <w:right w:val="nil"/>
            </w:tcBorders>
            <w:shd w:val="clear" w:color="auto" w:fill="auto"/>
            <w:vAlign w:val="center"/>
            <w:hideMark/>
          </w:tcPr>
          <w:p w:rsidR="00B53E63" w:rsidRPr="00EC1134" w:rsidRDefault="00E33E36" w:rsidP="00502EB4">
            <w:pPr>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r>
    </w:tbl>
    <w:p w:rsidR="00B53E63" w:rsidRPr="00EC1134" w:rsidRDefault="00B53E63" w:rsidP="00B53E63">
      <w:pPr>
        <w:pStyle w:val="BodyText"/>
        <w:rPr>
          <w:sz w:val="18"/>
          <w:lang w:val="nb-NO"/>
        </w:rPr>
      </w:pPr>
    </w:p>
    <w:p w:rsidR="00952391" w:rsidRPr="00EC1134" w:rsidRDefault="00952391" w:rsidP="00952391">
      <w:pPr>
        <w:pStyle w:val="BodyText"/>
        <w:rPr>
          <w:lang w:val="nb-NO"/>
        </w:rPr>
      </w:pPr>
      <w:r w:rsidRPr="00EC1134">
        <w:rPr>
          <w:lang w:val="nb-NO"/>
        </w:rPr>
        <w:fldChar w:fldCharType="begin"/>
      </w:r>
      <w:r w:rsidRPr="00EC1134">
        <w:rPr>
          <w:lang w:val="nb-NO"/>
        </w:rPr>
        <w:instrText xml:space="preserve"> REF _Ref509499628 \h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14</w:t>
      </w:r>
      <w:r w:rsidRPr="00EC1134">
        <w:rPr>
          <w:lang w:val="nb-NO"/>
        </w:rPr>
        <w:fldChar w:fldCharType="end"/>
      </w:r>
      <w:r w:rsidR="00483CE9" w:rsidRPr="00EC1134">
        <w:rPr>
          <w:lang w:val="nb-NO"/>
        </w:rPr>
        <w:t xml:space="preserve"> viser fordelingen av opptaksrammene på de ulike enhetene, beregnet på samme måte som i </w:t>
      </w:r>
      <w:r w:rsidR="00483CE9" w:rsidRPr="00EC1134">
        <w:rPr>
          <w:lang w:val="nb-NO"/>
        </w:rPr>
        <w:fldChar w:fldCharType="begin"/>
      </w:r>
      <w:r w:rsidR="00483CE9" w:rsidRPr="00EC1134">
        <w:rPr>
          <w:lang w:val="nb-NO"/>
        </w:rPr>
        <w:instrText xml:space="preserve"> REF _Ref505601838 \h \*Lower </w:instrText>
      </w:r>
      <w:r w:rsidR="00483CE9" w:rsidRPr="00EC1134">
        <w:rPr>
          <w:lang w:val="nb-NO"/>
        </w:rPr>
      </w:r>
      <w:r w:rsidR="00483CE9" w:rsidRPr="00EC1134">
        <w:rPr>
          <w:lang w:val="nb-NO"/>
        </w:rPr>
        <w:fldChar w:fldCharType="separate"/>
      </w:r>
      <w:r w:rsidR="00B759DD" w:rsidRPr="00EC1134">
        <w:rPr>
          <w:lang w:val="nb-NO"/>
        </w:rPr>
        <w:t xml:space="preserve">tabell </w:t>
      </w:r>
      <w:r w:rsidR="00B759DD">
        <w:rPr>
          <w:noProof/>
          <w:lang w:val="nb-NO"/>
        </w:rPr>
        <w:t>5</w:t>
      </w:r>
      <w:r w:rsidR="00483CE9" w:rsidRPr="00EC1134">
        <w:rPr>
          <w:lang w:val="nb-NO"/>
        </w:rPr>
        <w:fldChar w:fldCharType="end"/>
      </w:r>
      <w:r w:rsidR="00483CE9" w:rsidRPr="00EC1134">
        <w:rPr>
          <w:lang w:val="nb-NO"/>
        </w:rPr>
        <w:t>.</w:t>
      </w:r>
      <w:r w:rsidR="0053657A" w:rsidRPr="00EC1134">
        <w:rPr>
          <w:lang w:val="nb-NO"/>
        </w:rPr>
        <w:t xml:space="preserve"> Som følge av tildelingen av nye studieplasser, har andelene av inntektene som kan tilordnes de ulike enhetene endret seg over tid. Spesielt har andelen til PSI økt fra 46 til 50 prosent, mens andelen for de andre jevnt over er redusert</w:t>
      </w:r>
      <w:r w:rsidR="00EC1134" w:rsidRPr="00EC1134">
        <w:rPr>
          <w:lang w:val="nb-NO"/>
        </w:rPr>
        <w:t>.</w:t>
      </w:r>
    </w:p>
    <w:p w:rsidR="00952391" w:rsidRPr="00EC1134" w:rsidRDefault="00952391" w:rsidP="00952391">
      <w:pPr>
        <w:pStyle w:val="Caption"/>
        <w:keepNext/>
        <w:rPr>
          <w:lang w:val="nb-NO"/>
        </w:rPr>
      </w:pPr>
      <w:bookmarkStart w:id="13" w:name="_Ref509499628"/>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14</w:t>
      </w:r>
      <w:r w:rsidRPr="00EC1134">
        <w:rPr>
          <w:lang w:val="nb-NO"/>
        </w:rPr>
        <w:fldChar w:fldCharType="end"/>
      </w:r>
      <w:bookmarkEnd w:id="13"/>
      <w:r w:rsidRPr="00EC1134">
        <w:rPr>
          <w:lang w:val="nb-NO"/>
        </w:rPr>
        <w:t>: Andel av opptaksramme, prosent</w:t>
      </w:r>
    </w:p>
    <w:tbl>
      <w:tblPr>
        <w:tblW w:w="5000" w:type="pct"/>
        <w:tblCellMar>
          <w:left w:w="70" w:type="dxa"/>
          <w:right w:w="70" w:type="dxa"/>
        </w:tblCellMar>
        <w:tblLook w:val="04A0" w:firstRow="1" w:lastRow="0" w:firstColumn="1" w:lastColumn="0" w:noHBand="0" w:noVBand="1"/>
      </w:tblPr>
      <w:tblGrid>
        <w:gridCol w:w="721"/>
        <w:gridCol w:w="842"/>
        <w:gridCol w:w="842"/>
        <w:gridCol w:w="842"/>
        <w:gridCol w:w="842"/>
        <w:gridCol w:w="842"/>
        <w:gridCol w:w="842"/>
        <w:gridCol w:w="842"/>
        <w:gridCol w:w="842"/>
        <w:gridCol w:w="842"/>
      </w:tblGrid>
      <w:tr w:rsidR="0041468E" w:rsidRPr="0041468E" w:rsidTr="0041468E">
        <w:trPr>
          <w:trHeight w:val="330"/>
        </w:trPr>
        <w:tc>
          <w:tcPr>
            <w:tcW w:w="435"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 </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2010</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2011</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2012</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2013</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2014</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2015</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2016</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2017</w:t>
            </w:r>
          </w:p>
        </w:tc>
        <w:tc>
          <w:tcPr>
            <w:tcW w:w="507" w:type="pct"/>
            <w:tcBorders>
              <w:top w:val="single" w:sz="8" w:space="0" w:color="000000"/>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2018</w:t>
            </w:r>
          </w:p>
        </w:tc>
      </w:tr>
      <w:tr w:rsidR="0041468E" w:rsidRPr="0041468E" w:rsidTr="0041468E">
        <w:trPr>
          <w:trHeight w:val="315"/>
        </w:trPr>
        <w:tc>
          <w:tcPr>
            <w:tcW w:w="435" w:type="pct"/>
            <w:tcBorders>
              <w:top w:val="nil"/>
              <w:left w:val="nil"/>
              <w:bottom w:val="nil"/>
              <w:right w:val="nil"/>
            </w:tcBorders>
            <w:shd w:val="clear" w:color="000000" w:fill="CCCCCC"/>
            <w:vAlign w:val="center"/>
            <w:hideMark/>
          </w:tcPr>
          <w:p w:rsidR="0041468E" w:rsidRPr="0041468E" w:rsidRDefault="0041468E" w:rsidP="0041468E">
            <w:pP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ISS</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14</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14</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15</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15</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15</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15</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14</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14</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14</w:t>
            </w:r>
          </w:p>
        </w:tc>
      </w:tr>
      <w:tr w:rsidR="0041468E" w:rsidRPr="0041468E" w:rsidTr="0041468E">
        <w:trPr>
          <w:trHeight w:val="315"/>
        </w:trPr>
        <w:tc>
          <w:tcPr>
            <w:tcW w:w="435" w:type="pct"/>
            <w:tcBorders>
              <w:top w:val="nil"/>
              <w:left w:val="nil"/>
              <w:bottom w:val="nil"/>
              <w:right w:val="nil"/>
            </w:tcBorders>
            <w:shd w:val="clear" w:color="auto" w:fill="auto"/>
            <w:vAlign w:val="center"/>
            <w:hideMark/>
          </w:tcPr>
          <w:p w:rsidR="0041468E" w:rsidRPr="0041468E" w:rsidRDefault="0041468E" w:rsidP="0041468E">
            <w:pP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ISV</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19</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19</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18</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18</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18</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16</w:t>
            </w:r>
          </w:p>
        </w:tc>
      </w:tr>
      <w:tr w:rsidR="0041468E" w:rsidRPr="0041468E" w:rsidTr="0041468E">
        <w:trPr>
          <w:trHeight w:val="300"/>
        </w:trPr>
        <w:tc>
          <w:tcPr>
            <w:tcW w:w="435" w:type="pct"/>
            <w:tcBorders>
              <w:top w:val="nil"/>
              <w:left w:val="nil"/>
              <w:bottom w:val="nil"/>
              <w:right w:val="nil"/>
            </w:tcBorders>
            <w:shd w:val="clear" w:color="000000" w:fill="CCCCCC"/>
            <w:vAlign w:val="center"/>
            <w:hideMark/>
          </w:tcPr>
          <w:p w:rsidR="0041468E" w:rsidRPr="0041468E" w:rsidRDefault="0041468E" w:rsidP="0041468E">
            <w:pP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PSI</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45</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45</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45</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46</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47</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48</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49</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49</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50</w:t>
            </w:r>
          </w:p>
        </w:tc>
      </w:tr>
      <w:tr w:rsidR="0041468E" w:rsidRPr="0041468E" w:rsidTr="0041468E">
        <w:trPr>
          <w:trHeight w:val="300"/>
        </w:trPr>
        <w:tc>
          <w:tcPr>
            <w:tcW w:w="435" w:type="pct"/>
            <w:tcBorders>
              <w:top w:val="nil"/>
              <w:left w:val="nil"/>
              <w:bottom w:val="nil"/>
              <w:right w:val="nil"/>
            </w:tcBorders>
            <w:shd w:val="clear" w:color="auto" w:fill="auto"/>
            <w:vAlign w:val="center"/>
            <w:hideMark/>
          </w:tcPr>
          <w:p w:rsidR="0041468E" w:rsidRPr="0041468E" w:rsidRDefault="0041468E" w:rsidP="0041468E">
            <w:pP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SAI</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7</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6</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6</w:t>
            </w:r>
          </w:p>
        </w:tc>
        <w:tc>
          <w:tcPr>
            <w:tcW w:w="507" w:type="pct"/>
            <w:tcBorders>
              <w:top w:val="nil"/>
              <w:left w:val="nil"/>
              <w:bottom w:val="nil"/>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6</w:t>
            </w:r>
          </w:p>
        </w:tc>
      </w:tr>
      <w:tr w:rsidR="0041468E" w:rsidRPr="0041468E" w:rsidTr="0041468E">
        <w:trPr>
          <w:trHeight w:val="300"/>
        </w:trPr>
        <w:tc>
          <w:tcPr>
            <w:tcW w:w="435" w:type="pct"/>
            <w:tcBorders>
              <w:top w:val="nil"/>
              <w:left w:val="nil"/>
              <w:bottom w:val="nil"/>
              <w:right w:val="nil"/>
            </w:tcBorders>
            <w:shd w:val="clear" w:color="000000" w:fill="CCCCCC"/>
            <w:vAlign w:val="center"/>
            <w:hideMark/>
          </w:tcPr>
          <w:p w:rsidR="0041468E" w:rsidRPr="0041468E" w:rsidRDefault="0041468E" w:rsidP="0041468E">
            <w:pP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TIK</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2</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2</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2</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w:t>
            </w:r>
          </w:p>
        </w:tc>
      </w:tr>
      <w:tr w:rsidR="0041468E" w:rsidRPr="0041468E" w:rsidTr="0041468E">
        <w:trPr>
          <w:trHeight w:val="330"/>
        </w:trPr>
        <w:tc>
          <w:tcPr>
            <w:tcW w:w="435" w:type="pct"/>
            <w:tcBorders>
              <w:top w:val="nil"/>
              <w:left w:val="nil"/>
              <w:bottom w:val="single" w:sz="8" w:space="0" w:color="000000"/>
              <w:right w:val="nil"/>
            </w:tcBorders>
            <w:shd w:val="clear" w:color="auto" w:fill="auto"/>
            <w:vAlign w:val="center"/>
            <w:hideMark/>
          </w:tcPr>
          <w:p w:rsidR="0041468E" w:rsidRPr="0041468E" w:rsidRDefault="0041468E" w:rsidP="0041468E">
            <w:pP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ØI</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13</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13</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13</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13</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12</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12</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12</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12</w:t>
            </w:r>
          </w:p>
        </w:tc>
        <w:tc>
          <w:tcPr>
            <w:tcW w:w="507" w:type="pct"/>
            <w:tcBorders>
              <w:top w:val="nil"/>
              <w:left w:val="nil"/>
              <w:bottom w:val="single" w:sz="8" w:space="0" w:color="000000"/>
              <w:right w:val="nil"/>
            </w:tcBorders>
            <w:shd w:val="clear" w:color="auto" w:fill="auto"/>
            <w:vAlign w:val="center"/>
            <w:hideMark/>
          </w:tcPr>
          <w:p w:rsidR="0041468E" w:rsidRPr="0041468E" w:rsidRDefault="0041468E" w:rsidP="0041468E">
            <w:pPr>
              <w:jc w:val="center"/>
              <w:rPr>
                <w:rFonts w:ascii="Cambria" w:eastAsia="Times New Roman" w:hAnsi="Cambria" w:cs="Times New Roman"/>
                <w:color w:val="000000"/>
                <w:lang w:eastAsia="nb-NO"/>
              </w:rPr>
            </w:pPr>
            <w:r w:rsidRPr="0041468E">
              <w:rPr>
                <w:rFonts w:ascii="Cambria" w:eastAsia="Times New Roman" w:hAnsi="Cambria" w:cs="Times New Roman"/>
                <w:color w:val="000000"/>
                <w:lang w:eastAsia="nb-NO"/>
              </w:rPr>
              <w:t>12</w:t>
            </w:r>
          </w:p>
        </w:tc>
      </w:tr>
      <w:tr w:rsidR="0041468E" w:rsidRPr="0041468E" w:rsidTr="0041468E">
        <w:trPr>
          <w:trHeight w:val="300"/>
        </w:trPr>
        <w:tc>
          <w:tcPr>
            <w:tcW w:w="435" w:type="pct"/>
            <w:tcBorders>
              <w:top w:val="nil"/>
              <w:left w:val="nil"/>
              <w:bottom w:val="nil"/>
              <w:right w:val="nil"/>
            </w:tcBorders>
            <w:shd w:val="clear" w:color="000000" w:fill="CCCCCC"/>
            <w:vAlign w:val="center"/>
            <w:hideMark/>
          </w:tcPr>
          <w:p w:rsidR="0041468E" w:rsidRPr="0041468E" w:rsidRDefault="0041468E" w:rsidP="0041468E">
            <w:pPr>
              <w:rPr>
                <w:rFonts w:ascii="Cambria" w:eastAsia="Times New Roman" w:hAnsi="Cambria" w:cs="Times New Roman"/>
                <w:b/>
                <w:bCs/>
                <w:color w:val="000000"/>
                <w:sz w:val="22"/>
                <w:szCs w:val="22"/>
                <w:lang w:eastAsia="nb-NO"/>
              </w:rPr>
            </w:pPr>
            <w:r w:rsidRPr="0041468E">
              <w:rPr>
                <w:rFonts w:ascii="Cambria" w:eastAsia="Times New Roman" w:hAnsi="Cambria" w:cs="Times New Roman"/>
                <w:b/>
                <w:bCs/>
                <w:color w:val="000000"/>
                <w:sz w:val="22"/>
                <w:szCs w:val="22"/>
                <w:lang w:eastAsia="nb-NO"/>
              </w:rPr>
              <w:t>SUM</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c>
          <w:tcPr>
            <w:tcW w:w="507" w:type="pct"/>
            <w:tcBorders>
              <w:top w:val="nil"/>
              <w:left w:val="nil"/>
              <w:bottom w:val="nil"/>
              <w:right w:val="nil"/>
            </w:tcBorders>
            <w:shd w:val="clear" w:color="000000" w:fill="CCCCCC"/>
            <w:vAlign w:val="center"/>
            <w:hideMark/>
          </w:tcPr>
          <w:p w:rsidR="0041468E" w:rsidRPr="0041468E" w:rsidRDefault="0041468E" w:rsidP="0041468E">
            <w:pPr>
              <w:jc w:val="center"/>
              <w:rPr>
                <w:rFonts w:ascii="Cambria" w:eastAsia="Times New Roman" w:hAnsi="Cambria" w:cs="Times New Roman"/>
                <w:color w:val="000000"/>
                <w:sz w:val="22"/>
                <w:szCs w:val="22"/>
                <w:lang w:eastAsia="nb-NO"/>
              </w:rPr>
            </w:pPr>
            <w:r w:rsidRPr="0041468E">
              <w:rPr>
                <w:rFonts w:ascii="Cambria" w:eastAsia="Times New Roman" w:hAnsi="Cambria" w:cs="Times New Roman"/>
                <w:color w:val="000000"/>
                <w:sz w:val="22"/>
                <w:szCs w:val="22"/>
                <w:lang w:eastAsia="nb-NO"/>
              </w:rPr>
              <w:t>100</w:t>
            </w:r>
          </w:p>
        </w:tc>
      </w:tr>
    </w:tbl>
    <w:p w:rsidR="00952391" w:rsidRPr="00EC1134" w:rsidRDefault="00483CE9" w:rsidP="00952391">
      <w:pPr>
        <w:pStyle w:val="BodyText"/>
        <w:rPr>
          <w:sz w:val="18"/>
          <w:lang w:val="nb-NO"/>
        </w:rPr>
      </w:pPr>
      <w:r w:rsidRPr="00EC1134">
        <w:rPr>
          <w:sz w:val="18"/>
          <w:lang w:val="nb-NO"/>
        </w:rPr>
        <w:t>Det er beregnet andeler for hhv. bachelor-, master- og profesjonsstudiene, som så er vektet med de priser som benyttes for studieplasser.</w:t>
      </w:r>
      <w:r w:rsidR="0041468E">
        <w:rPr>
          <w:sz w:val="18"/>
          <w:lang w:val="nb-NO"/>
        </w:rPr>
        <w:t xml:space="preserve"> Det er også justert for andel emner som tilbys av andre enheter enn eier av programmet.</w:t>
      </w:r>
    </w:p>
    <w:p w:rsidR="00483CE9" w:rsidRPr="00EC1134" w:rsidRDefault="00483CE9" w:rsidP="00483CE9">
      <w:pPr>
        <w:pStyle w:val="BodyText"/>
        <w:rPr>
          <w:lang w:val="nb-NO"/>
        </w:rPr>
      </w:pPr>
      <w:r w:rsidRPr="00EC1134">
        <w:rPr>
          <w:lang w:val="nb-NO"/>
        </w:rPr>
        <w:fldChar w:fldCharType="begin"/>
      </w:r>
      <w:r w:rsidRPr="00EC1134">
        <w:rPr>
          <w:lang w:val="nb-NO"/>
        </w:rPr>
        <w:instrText xml:space="preserve"> REF _Ref509499783 \h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15</w:t>
      </w:r>
      <w:r w:rsidRPr="00EC1134">
        <w:rPr>
          <w:lang w:val="nb-NO"/>
        </w:rPr>
        <w:fldChar w:fldCharType="end"/>
      </w:r>
      <w:r w:rsidRPr="00EC1134">
        <w:rPr>
          <w:lang w:val="nb-NO"/>
        </w:rPr>
        <w:t xml:space="preserve"> viser </w:t>
      </w:r>
      <w:r w:rsidR="00E33E36" w:rsidRPr="00EC1134">
        <w:rPr>
          <w:lang w:val="nb-NO"/>
        </w:rPr>
        <w:t xml:space="preserve">tilsvarende </w:t>
      </w:r>
      <w:r w:rsidRPr="00EC1134">
        <w:rPr>
          <w:lang w:val="nb-NO"/>
        </w:rPr>
        <w:t xml:space="preserve">fordelingen av plantall, beregnet utfra tallene i </w:t>
      </w:r>
      <w:r w:rsidRPr="00EC1134">
        <w:rPr>
          <w:lang w:val="nb-NO"/>
        </w:rPr>
        <w:fldChar w:fldCharType="begin"/>
      </w:r>
      <w:r w:rsidRPr="00EC1134">
        <w:rPr>
          <w:lang w:val="nb-NO"/>
        </w:rPr>
        <w:instrText xml:space="preserve"> REF _Ref509497686 \h \*Lower </w:instrText>
      </w:r>
      <w:r w:rsidRPr="00EC1134">
        <w:rPr>
          <w:lang w:val="nb-NO"/>
        </w:rPr>
      </w:r>
      <w:r w:rsidRPr="00EC1134">
        <w:rPr>
          <w:lang w:val="nb-NO"/>
        </w:rPr>
        <w:fldChar w:fldCharType="separate"/>
      </w:r>
      <w:r w:rsidR="00B759DD" w:rsidRPr="00EC1134">
        <w:rPr>
          <w:lang w:val="nb-NO"/>
        </w:rPr>
        <w:t xml:space="preserve">tabell </w:t>
      </w:r>
      <w:r w:rsidR="00B759DD">
        <w:rPr>
          <w:noProof/>
          <w:lang w:val="nb-NO"/>
        </w:rPr>
        <w:t>4</w:t>
      </w:r>
      <w:r w:rsidRPr="00EC1134">
        <w:rPr>
          <w:lang w:val="nb-NO"/>
        </w:rPr>
        <w:fldChar w:fldCharType="end"/>
      </w:r>
      <w:r w:rsidRPr="00EC1134">
        <w:rPr>
          <w:lang w:val="nb-NO"/>
        </w:rPr>
        <w:t xml:space="preserve"> ovenfor</w:t>
      </w:r>
      <w:r w:rsidR="00A612A0" w:rsidRPr="00EC1134">
        <w:rPr>
          <w:lang w:val="nb-NO"/>
        </w:rPr>
        <w:t xml:space="preserve"> (inkl. øremerkede studieplassmidler)</w:t>
      </w:r>
      <w:r w:rsidRPr="00EC1134">
        <w:rPr>
          <w:lang w:val="nb-NO"/>
        </w:rPr>
        <w:t>.</w:t>
      </w:r>
    </w:p>
    <w:p w:rsidR="00483CE9" w:rsidRPr="00EC1134" w:rsidRDefault="00483CE9" w:rsidP="00A97546">
      <w:pPr>
        <w:pStyle w:val="Caption"/>
        <w:keepNext/>
        <w:keepLines/>
        <w:spacing w:line="240" w:lineRule="auto"/>
        <w:rPr>
          <w:lang w:val="nb-NO"/>
        </w:rPr>
      </w:pPr>
      <w:bookmarkStart w:id="14" w:name="_Ref509499783"/>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15</w:t>
      </w:r>
      <w:r w:rsidRPr="00EC1134">
        <w:rPr>
          <w:lang w:val="nb-NO"/>
        </w:rPr>
        <w:fldChar w:fldCharType="end"/>
      </w:r>
      <w:bookmarkEnd w:id="14"/>
      <w:r w:rsidRPr="00EC1134">
        <w:rPr>
          <w:lang w:val="nb-NO"/>
        </w:rPr>
        <w:t>: Andel av plantall, prosent</w:t>
      </w:r>
    </w:p>
    <w:tbl>
      <w:tblPr>
        <w:tblW w:w="5000" w:type="pct"/>
        <w:tblCellMar>
          <w:left w:w="70" w:type="dxa"/>
          <w:right w:w="70" w:type="dxa"/>
        </w:tblCellMar>
        <w:tblLook w:val="04A0" w:firstRow="1" w:lastRow="0" w:firstColumn="1" w:lastColumn="0" w:noHBand="0" w:noVBand="1"/>
      </w:tblPr>
      <w:tblGrid>
        <w:gridCol w:w="781"/>
        <w:gridCol w:w="834"/>
        <w:gridCol w:w="835"/>
        <w:gridCol w:w="837"/>
        <w:gridCol w:w="835"/>
        <w:gridCol w:w="835"/>
        <w:gridCol w:w="837"/>
        <w:gridCol w:w="835"/>
        <w:gridCol w:w="835"/>
        <w:gridCol w:w="835"/>
      </w:tblGrid>
      <w:tr w:rsidR="00753465" w:rsidRPr="00EC1134" w:rsidTr="005B6B32">
        <w:trPr>
          <w:trHeight w:val="315"/>
        </w:trPr>
        <w:tc>
          <w:tcPr>
            <w:tcW w:w="471"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Enhet</w:t>
            </w:r>
          </w:p>
        </w:tc>
        <w:tc>
          <w:tcPr>
            <w:tcW w:w="503"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2010</w:t>
            </w:r>
          </w:p>
        </w:tc>
        <w:tc>
          <w:tcPr>
            <w:tcW w:w="503"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2011</w:t>
            </w:r>
          </w:p>
        </w:tc>
        <w:tc>
          <w:tcPr>
            <w:tcW w:w="504"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2012</w:t>
            </w:r>
          </w:p>
        </w:tc>
        <w:tc>
          <w:tcPr>
            <w:tcW w:w="503"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2013</w:t>
            </w:r>
          </w:p>
        </w:tc>
        <w:tc>
          <w:tcPr>
            <w:tcW w:w="503"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2014</w:t>
            </w:r>
          </w:p>
        </w:tc>
        <w:tc>
          <w:tcPr>
            <w:tcW w:w="504"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2015</w:t>
            </w:r>
          </w:p>
        </w:tc>
        <w:tc>
          <w:tcPr>
            <w:tcW w:w="503"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2016</w:t>
            </w:r>
          </w:p>
        </w:tc>
        <w:tc>
          <w:tcPr>
            <w:tcW w:w="503"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2017</w:t>
            </w:r>
          </w:p>
        </w:tc>
        <w:tc>
          <w:tcPr>
            <w:tcW w:w="504" w:type="pct"/>
            <w:tcBorders>
              <w:top w:val="single" w:sz="8" w:space="0" w:color="000000"/>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2018</w:t>
            </w:r>
          </w:p>
        </w:tc>
      </w:tr>
      <w:tr w:rsidR="005B6B32" w:rsidRPr="00EC1134" w:rsidTr="005B6B32">
        <w:trPr>
          <w:trHeight w:val="345"/>
        </w:trPr>
        <w:tc>
          <w:tcPr>
            <w:tcW w:w="471" w:type="pct"/>
            <w:tcBorders>
              <w:top w:val="nil"/>
              <w:left w:val="nil"/>
              <w:bottom w:val="nil"/>
              <w:right w:val="nil"/>
            </w:tcBorders>
            <w:shd w:val="clear" w:color="000000" w:fill="CCCCCC"/>
            <w:vAlign w:val="center"/>
            <w:hideMark/>
          </w:tcPr>
          <w:p w:rsidR="00753465" w:rsidRPr="00EC1134" w:rsidRDefault="00753465" w:rsidP="00A97546">
            <w:pPr>
              <w:keepNext/>
              <w:keepLines/>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ISS</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17</w:t>
            </w:r>
          </w:p>
        </w:tc>
        <w:tc>
          <w:tcPr>
            <w:tcW w:w="504"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w:t>
            </w:r>
            <w:r w:rsidR="00A612A0" w:rsidRPr="00EC1134">
              <w:rPr>
                <w:rFonts w:eastAsia="Times New Roman" w:cs="Times New Roman"/>
                <w:color w:val="000000"/>
                <w:sz w:val="22"/>
                <w:szCs w:val="22"/>
                <w:lang w:eastAsia="nb-NO"/>
              </w:rPr>
              <w:t>8</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17</w:t>
            </w:r>
          </w:p>
        </w:tc>
        <w:tc>
          <w:tcPr>
            <w:tcW w:w="504"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17</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17</w:t>
            </w:r>
          </w:p>
        </w:tc>
        <w:tc>
          <w:tcPr>
            <w:tcW w:w="503"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4"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r>
      <w:tr w:rsidR="00753465" w:rsidRPr="00EC1134" w:rsidTr="005B6B32">
        <w:trPr>
          <w:trHeight w:val="345"/>
        </w:trPr>
        <w:tc>
          <w:tcPr>
            <w:tcW w:w="471" w:type="pct"/>
            <w:tcBorders>
              <w:top w:val="nil"/>
              <w:left w:val="nil"/>
              <w:bottom w:val="nil"/>
              <w:right w:val="nil"/>
            </w:tcBorders>
            <w:shd w:val="clear" w:color="auto" w:fill="auto"/>
            <w:vAlign w:val="center"/>
            <w:hideMark/>
          </w:tcPr>
          <w:p w:rsidR="00753465" w:rsidRPr="00EC1134" w:rsidRDefault="00753465" w:rsidP="00A97546">
            <w:pPr>
              <w:keepNext/>
              <w:keepLines/>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ISV</w:t>
            </w:r>
          </w:p>
        </w:tc>
        <w:tc>
          <w:tcPr>
            <w:tcW w:w="503" w:type="pct"/>
            <w:tcBorders>
              <w:top w:val="nil"/>
              <w:left w:val="nil"/>
              <w:bottom w:val="nil"/>
              <w:right w:val="nil"/>
            </w:tcBorders>
            <w:shd w:val="clear" w:color="auto" w:fill="auto"/>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c>
          <w:tcPr>
            <w:tcW w:w="503" w:type="pct"/>
            <w:tcBorders>
              <w:top w:val="nil"/>
              <w:left w:val="nil"/>
              <w:bottom w:val="nil"/>
              <w:right w:val="nil"/>
            </w:tcBorders>
            <w:shd w:val="clear" w:color="auto" w:fill="auto"/>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c>
          <w:tcPr>
            <w:tcW w:w="504"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3"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c>
          <w:tcPr>
            <w:tcW w:w="503"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c>
          <w:tcPr>
            <w:tcW w:w="504"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c>
          <w:tcPr>
            <w:tcW w:w="503"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19</w:t>
            </w:r>
          </w:p>
        </w:tc>
        <w:tc>
          <w:tcPr>
            <w:tcW w:w="503"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c>
          <w:tcPr>
            <w:tcW w:w="504"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18</w:t>
            </w:r>
          </w:p>
        </w:tc>
      </w:tr>
      <w:tr w:rsidR="005B6B32" w:rsidRPr="00EC1134" w:rsidTr="005B6B32">
        <w:trPr>
          <w:trHeight w:val="345"/>
        </w:trPr>
        <w:tc>
          <w:tcPr>
            <w:tcW w:w="471" w:type="pct"/>
            <w:tcBorders>
              <w:top w:val="nil"/>
              <w:left w:val="nil"/>
              <w:bottom w:val="nil"/>
              <w:right w:val="nil"/>
            </w:tcBorders>
            <w:shd w:val="clear" w:color="000000" w:fill="CCCCCC"/>
            <w:vAlign w:val="center"/>
            <w:hideMark/>
          </w:tcPr>
          <w:p w:rsidR="00753465" w:rsidRPr="00EC1134" w:rsidRDefault="00753465" w:rsidP="00A97546">
            <w:pPr>
              <w:keepNext/>
              <w:keepLines/>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PSI</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34</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35</w:t>
            </w:r>
          </w:p>
        </w:tc>
        <w:tc>
          <w:tcPr>
            <w:tcW w:w="504"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35</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36</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38</w:t>
            </w:r>
          </w:p>
        </w:tc>
        <w:tc>
          <w:tcPr>
            <w:tcW w:w="504"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37</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37</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36</w:t>
            </w:r>
          </w:p>
        </w:tc>
        <w:tc>
          <w:tcPr>
            <w:tcW w:w="504"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35</w:t>
            </w:r>
          </w:p>
        </w:tc>
      </w:tr>
      <w:tr w:rsidR="00753465" w:rsidRPr="00EC1134" w:rsidTr="005B6B32">
        <w:trPr>
          <w:trHeight w:val="345"/>
        </w:trPr>
        <w:tc>
          <w:tcPr>
            <w:tcW w:w="471" w:type="pct"/>
            <w:tcBorders>
              <w:top w:val="nil"/>
              <w:left w:val="nil"/>
              <w:bottom w:val="nil"/>
              <w:right w:val="nil"/>
            </w:tcBorders>
            <w:shd w:val="clear" w:color="auto" w:fill="auto"/>
            <w:vAlign w:val="center"/>
            <w:hideMark/>
          </w:tcPr>
          <w:p w:rsidR="00753465" w:rsidRPr="00EC1134" w:rsidRDefault="00753465" w:rsidP="00A97546">
            <w:pPr>
              <w:keepNext/>
              <w:keepLines/>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SAI</w:t>
            </w:r>
          </w:p>
        </w:tc>
        <w:tc>
          <w:tcPr>
            <w:tcW w:w="503" w:type="pct"/>
            <w:tcBorders>
              <w:top w:val="nil"/>
              <w:left w:val="nil"/>
              <w:bottom w:val="nil"/>
              <w:right w:val="nil"/>
            </w:tcBorders>
            <w:shd w:val="clear" w:color="auto" w:fill="auto"/>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9</w:t>
            </w:r>
          </w:p>
        </w:tc>
        <w:tc>
          <w:tcPr>
            <w:tcW w:w="503" w:type="pct"/>
            <w:tcBorders>
              <w:top w:val="nil"/>
              <w:left w:val="nil"/>
              <w:bottom w:val="nil"/>
              <w:right w:val="nil"/>
            </w:tcBorders>
            <w:shd w:val="clear" w:color="auto" w:fill="auto"/>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9</w:t>
            </w:r>
          </w:p>
        </w:tc>
        <w:tc>
          <w:tcPr>
            <w:tcW w:w="504" w:type="pct"/>
            <w:tcBorders>
              <w:top w:val="nil"/>
              <w:left w:val="nil"/>
              <w:bottom w:val="nil"/>
              <w:right w:val="nil"/>
            </w:tcBorders>
            <w:shd w:val="clear" w:color="auto" w:fill="auto"/>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11</w:t>
            </w:r>
          </w:p>
        </w:tc>
        <w:tc>
          <w:tcPr>
            <w:tcW w:w="503" w:type="pct"/>
            <w:tcBorders>
              <w:top w:val="nil"/>
              <w:left w:val="nil"/>
              <w:bottom w:val="nil"/>
              <w:right w:val="nil"/>
            </w:tcBorders>
            <w:shd w:val="clear" w:color="auto" w:fill="auto"/>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11</w:t>
            </w:r>
          </w:p>
        </w:tc>
        <w:tc>
          <w:tcPr>
            <w:tcW w:w="503"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10</w:t>
            </w:r>
          </w:p>
        </w:tc>
        <w:tc>
          <w:tcPr>
            <w:tcW w:w="504"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10</w:t>
            </w:r>
          </w:p>
        </w:tc>
        <w:tc>
          <w:tcPr>
            <w:tcW w:w="503"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10</w:t>
            </w:r>
          </w:p>
        </w:tc>
        <w:tc>
          <w:tcPr>
            <w:tcW w:w="503"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10</w:t>
            </w:r>
          </w:p>
        </w:tc>
        <w:tc>
          <w:tcPr>
            <w:tcW w:w="504" w:type="pct"/>
            <w:tcBorders>
              <w:top w:val="nil"/>
              <w:left w:val="nil"/>
              <w:bottom w:val="nil"/>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10</w:t>
            </w:r>
          </w:p>
        </w:tc>
      </w:tr>
      <w:tr w:rsidR="005B6B32" w:rsidRPr="00EC1134" w:rsidTr="005B6B32">
        <w:trPr>
          <w:trHeight w:val="345"/>
        </w:trPr>
        <w:tc>
          <w:tcPr>
            <w:tcW w:w="471" w:type="pct"/>
            <w:tcBorders>
              <w:top w:val="nil"/>
              <w:left w:val="nil"/>
              <w:bottom w:val="nil"/>
              <w:right w:val="nil"/>
            </w:tcBorders>
            <w:shd w:val="clear" w:color="000000" w:fill="CCCCCC"/>
            <w:vAlign w:val="center"/>
            <w:hideMark/>
          </w:tcPr>
          <w:p w:rsidR="00753465" w:rsidRPr="00EC1134" w:rsidRDefault="00753465" w:rsidP="00A97546">
            <w:pPr>
              <w:keepNext/>
              <w:keepLines/>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TIK</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503" w:type="pct"/>
            <w:tcBorders>
              <w:top w:val="nil"/>
              <w:left w:val="nil"/>
              <w:bottom w:val="nil"/>
              <w:right w:val="nil"/>
            </w:tcBorders>
            <w:shd w:val="clear" w:color="000000" w:fill="CCCCCC"/>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504"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503"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503"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504"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503"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503"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c>
          <w:tcPr>
            <w:tcW w:w="504" w:type="pct"/>
            <w:tcBorders>
              <w:top w:val="nil"/>
              <w:left w:val="nil"/>
              <w:bottom w:val="nil"/>
              <w:right w:val="nil"/>
            </w:tcBorders>
            <w:shd w:val="clear" w:color="000000" w:fill="CCCCCC"/>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3</w:t>
            </w:r>
          </w:p>
        </w:tc>
      </w:tr>
      <w:tr w:rsidR="00753465" w:rsidRPr="00EC1134" w:rsidTr="005B6B32">
        <w:trPr>
          <w:trHeight w:val="360"/>
        </w:trPr>
        <w:tc>
          <w:tcPr>
            <w:tcW w:w="471" w:type="pct"/>
            <w:tcBorders>
              <w:top w:val="nil"/>
              <w:left w:val="nil"/>
              <w:bottom w:val="single" w:sz="8" w:space="0" w:color="000000"/>
              <w:right w:val="nil"/>
            </w:tcBorders>
            <w:shd w:val="clear" w:color="auto" w:fill="auto"/>
            <w:vAlign w:val="center"/>
            <w:hideMark/>
          </w:tcPr>
          <w:p w:rsidR="00753465" w:rsidRPr="00EC1134" w:rsidRDefault="00753465" w:rsidP="00A97546">
            <w:pPr>
              <w:keepNext/>
              <w:keepLines/>
              <w:rPr>
                <w:rFonts w:eastAsia="Times New Roman" w:cs="Times New Roman"/>
                <w:b/>
                <w:bCs/>
                <w:color w:val="000000"/>
                <w:sz w:val="22"/>
                <w:szCs w:val="22"/>
                <w:lang w:eastAsia="nb-NO"/>
              </w:rPr>
            </w:pPr>
            <w:r w:rsidRPr="00EC1134">
              <w:rPr>
                <w:rFonts w:eastAsia="Times New Roman" w:cs="Times New Roman"/>
                <w:b/>
                <w:bCs/>
                <w:color w:val="000000"/>
                <w:sz w:val="22"/>
                <w:szCs w:val="22"/>
                <w:lang w:eastAsia="nb-NO"/>
              </w:rPr>
              <w:t>ØI</w:t>
            </w:r>
          </w:p>
        </w:tc>
        <w:tc>
          <w:tcPr>
            <w:tcW w:w="503" w:type="pct"/>
            <w:tcBorders>
              <w:top w:val="nil"/>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17</w:t>
            </w:r>
          </w:p>
        </w:tc>
        <w:tc>
          <w:tcPr>
            <w:tcW w:w="503" w:type="pct"/>
            <w:tcBorders>
              <w:top w:val="nil"/>
              <w:left w:val="nil"/>
              <w:bottom w:val="single" w:sz="8" w:space="0" w:color="000000"/>
              <w:right w:val="nil"/>
            </w:tcBorders>
            <w:shd w:val="clear" w:color="auto" w:fill="auto"/>
            <w:vAlign w:val="center"/>
            <w:hideMark/>
          </w:tcPr>
          <w:p w:rsidR="00753465" w:rsidRPr="00EC1134" w:rsidRDefault="00753465"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17</w:t>
            </w:r>
          </w:p>
        </w:tc>
        <w:tc>
          <w:tcPr>
            <w:tcW w:w="504" w:type="pct"/>
            <w:tcBorders>
              <w:top w:val="nil"/>
              <w:left w:val="nil"/>
              <w:bottom w:val="single" w:sz="8" w:space="0" w:color="000000"/>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15</w:t>
            </w:r>
          </w:p>
        </w:tc>
        <w:tc>
          <w:tcPr>
            <w:tcW w:w="503" w:type="pct"/>
            <w:tcBorders>
              <w:top w:val="nil"/>
              <w:left w:val="nil"/>
              <w:bottom w:val="single" w:sz="8" w:space="0" w:color="000000"/>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15</w:t>
            </w:r>
          </w:p>
        </w:tc>
        <w:tc>
          <w:tcPr>
            <w:tcW w:w="503" w:type="pct"/>
            <w:tcBorders>
              <w:top w:val="nil"/>
              <w:left w:val="nil"/>
              <w:bottom w:val="single" w:sz="8" w:space="0" w:color="000000"/>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14</w:t>
            </w:r>
          </w:p>
        </w:tc>
        <w:tc>
          <w:tcPr>
            <w:tcW w:w="504" w:type="pct"/>
            <w:tcBorders>
              <w:top w:val="nil"/>
              <w:left w:val="nil"/>
              <w:bottom w:val="single" w:sz="8" w:space="0" w:color="000000"/>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14</w:t>
            </w:r>
          </w:p>
        </w:tc>
        <w:tc>
          <w:tcPr>
            <w:tcW w:w="503" w:type="pct"/>
            <w:tcBorders>
              <w:top w:val="nil"/>
              <w:left w:val="nil"/>
              <w:bottom w:val="single" w:sz="8" w:space="0" w:color="000000"/>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14</w:t>
            </w:r>
          </w:p>
        </w:tc>
        <w:tc>
          <w:tcPr>
            <w:tcW w:w="503" w:type="pct"/>
            <w:tcBorders>
              <w:top w:val="nil"/>
              <w:left w:val="nil"/>
              <w:bottom w:val="single" w:sz="8" w:space="0" w:color="000000"/>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14</w:t>
            </w:r>
          </w:p>
        </w:tc>
        <w:tc>
          <w:tcPr>
            <w:tcW w:w="504" w:type="pct"/>
            <w:tcBorders>
              <w:top w:val="nil"/>
              <w:left w:val="nil"/>
              <w:bottom w:val="single" w:sz="8" w:space="0" w:color="000000"/>
              <w:right w:val="nil"/>
            </w:tcBorders>
            <w:shd w:val="clear" w:color="auto" w:fill="auto"/>
            <w:vAlign w:val="center"/>
            <w:hideMark/>
          </w:tcPr>
          <w:p w:rsidR="00753465" w:rsidRPr="00EC1134" w:rsidRDefault="00A612A0" w:rsidP="00A97546">
            <w:pPr>
              <w:keepNext/>
              <w:keepLines/>
              <w:jc w:val="center"/>
              <w:rPr>
                <w:rFonts w:eastAsia="Times New Roman" w:cs="Times New Roman"/>
                <w:color w:val="000000"/>
                <w:sz w:val="22"/>
                <w:szCs w:val="22"/>
                <w:lang w:eastAsia="nb-NO"/>
              </w:rPr>
            </w:pPr>
            <w:r w:rsidRPr="00EC1134">
              <w:rPr>
                <w:rFonts w:eastAsia="Times New Roman" w:cs="Times New Roman"/>
                <w:color w:val="000000"/>
                <w:sz w:val="22"/>
                <w:szCs w:val="22"/>
                <w:lang w:eastAsia="nb-NO"/>
              </w:rPr>
              <w:t>14</w:t>
            </w:r>
          </w:p>
        </w:tc>
      </w:tr>
    </w:tbl>
    <w:p w:rsidR="00483CE9" w:rsidRPr="00EC1134" w:rsidRDefault="00483CE9" w:rsidP="00483CE9">
      <w:pPr>
        <w:pStyle w:val="BodyText"/>
        <w:rPr>
          <w:sz w:val="18"/>
          <w:lang w:val="nb-NO"/>
        </w:rPr>
      </w:pPr>
    </w:p>
    <w:p w:rsidR="00483CE9" w:rsidRPr="00EC1134" w:rsidRDefault="00483CE9" w:rsidP="00FA71A8">
      <w:pPr>
        <w:pStyle w:val="BodyText"/>
        <w:rPr>
          <w:lang w:val="nb-NO" w:eastAsia="en-US"/>
        </w:rPr>
      </w:pPr>
      <w:r w:rsidRPr="00EC1134">
        <w:rPr>
          <w:lang w:val="nb-NO" w:eastAsia="en-US"/>
        </w:rPr>
        <w:t xml:space="preserve">Sammenligner man </w:t>
      </w:r>
      <w:r w:rsidRPr="00EC1134">
        <w:rPr>
          <w:lang w:val="nb-NO" w:eastAsia="en-US"/>
        </w:rPr>
        <w:fldChar w:fldCharType="begin"/>
      </w:r>
      <w:r w:rsidRPr="00EC1134">
        <w:rPr>
          <w:lang w:val="nb-NO" w:eastAsia="en-US"/>
        </w:rPr>
        <w:instrText xml:space="preserve"> REF _Ref509499628 \h \*Lower </w:instrText>
      </w:r>
      <w:r w:rsidRPr="00EC1134">
        <w:rPr>
          <w:lang w:val="nb-NO" w:eastAsia="en-US"/>
        </w:rPr>
      </w:r>
      <w:r w:rsidRPr="00EC1134">
        <w:rPr>
          <w:lang w:val="nb-NO" w:eastAsia="en-US"/>
        </w:rPr>
        <w:fldChar w:fldCharType="separate"/>
      </w:r>
      <w:r w:rsidR="00B759DD" w:rsidRPr="00EC1134">
        <w:rPr>
          <w:lang w:val="nb-NO"/>
        </w:rPr>
        <w:t xml:space="preserve">tabell </w:t>
      </w:r>
      <w:r w:rsidR="00B759DD">
        <w:rPr>
          <w:noProof/>
          <w:lang w:val="nb-NO"/>
        </w:rPr>
        <w:t>14</w:t>
      </w:r>
      <w:r w:rsidRPr="00EC1134">
        <w:rPr>
          <w:lang w:val="nb-NO" w:eastAsia="en-US"/>
        </w:rPr>
        <w:fldChar w:fldCharType="end"/>
      </w:r>
      <w:r w:rsidRPr="00EC1134">
        <w:rPr>
          <w:lang w:val="nb-NO" w:eastAsia="en-US"/>
        </w:rPr>
        <w:t xml:space="preserve"> og </w:t>
      </w:r>
      <w:r w:rsidRPr="00EC1134">
        <w:rPr>
          <w:lang w:val="nb-NO" w:eastAsia="en-US"/>
        </w:rPr>
        <w:fldChar w:fldCharType="begin"/>
      </w:r>
      <w:r w:rsidRPr="00EC1134">
        <w:rPr>
          <w:lang w:val="nb-NO" w:eastAsia="en-US"/>
        </w:rPr>
        <w:instrText xml:space="preserve"> REF _Ref509499783 \h \*Lower </w:instrText>
      </w:r>
      <w:r w:rsidRPr="00EC1134">
        <w:rPr>
          <w:lang w:val="nb-NO" w:eastAsia="en-US"/>
        </w:rPr>
      </w:r>
      <w:r w:rsidRPr="00EC1134">
        <w:rPr>
          <w:lang w:val="nb-NO" w:eastAsia="en-US"/>
        </w:rPr>
        <w:fldChar w:fldCharType="separate"/>
      </w:r>
      <w:r w:rsidR="00B759DD" w:rsidRPr="00EC1134">
        <w:rPr>
          <w:lang w:val="nb-NO"/>
        </w:rPr>
        <w:t xml:space="preserve">tabell </w:t>
      </w:r>
      <w:r w:rsidR="00B759DD">
        <w:rPr>
          <w:noProof/>
          <w:lang w:val="nb-NO"/>
        </w:rPr>
        <w:t>15</w:t>
      </w:r>
      <w:r w:rsidRPr="00EC1134">
        <w:rPr>
          <w:lang w:val="nb-NO" w:eastAsia="en-US"/>
        </w:rPr>
        <w:fldChar w:fldCharType="end"/>
      </w:r>
      <w:r w:rsidR="00563FB2" w:rsidRPr="00EC1134">
        <w:rPr>
          <w:lang w:val="nb-NO" w:eastAsia="en-US"/>
        </w:rPr>
        <w:t>, finner man at PSIs andel av plantallene er vesentlig lavere enn andelen av opptaksrammene,</w:t>
      </w:r>
      <w:r w:rsidR="00A612A0" w:rsidRPr="00EC1134">
        <w:rPr>
          <w:lang w:val="nb-NO" w:eastAsia="en-US"/>
        </w:rPr>
        <w:t xml:space="preserve"> og forskjellen har økt</w:t>
      </w:r>
      <w:r w:rsidR="00563FB2" w:rsidRPr="00EC1134">
        <w:rPr>
          <w:lang w:val="nb-NO" w:eastAsia="en-US"/>
        </w:rPr>
        <w:t xml:space="preserve">. For de andre enhetene er bildet mer broget. ISS har hatt en høyere andel av plantallene enn av opptaksrammen, men andelene har vært </w:t>
      </w:r>
      <w:r w:rsidR="00A612A0" w:rsidRPr="00EC1134">
        <w:rPr>
          <w:lang w:val="nb-NO" w:eastAsia="en-US"/>
        </w:rPr>
        <w:t xml:space="preserve">mer eller mindre </w:t>
      </w:r>
      <w:r w:rsidR="00563FB2" w:rsidRPr="00EC1134">
        <w:rPr>
          <w:lang w:val="nb-NO" w:eastAsia="en-US"/>
        </w:rPr>
        <w:t>de samme over tid.</w:t>
      </w:r>
      <w:r w:rsidR="00EC1134" w:rsidRPr="00EC1134">
        <w:rPr>
          <w:lang w:val="nb-NO" w:eastAsia="en-US"/>
        </w:rPr>
        <w:t xml:space="preserve"> Det samme gjelder SAI og TIK.</w:t>
      </w:r>
      <w:r w:rsidR="00563FB2" w:rsidRPr="00EC1134">
        <w:rPr>
          <w:lang w:val="nb-NO" w:eastAsia="en-US"/>
        </w:rPr>
        <w:t xml:space="preserve"> ISV hadde opprinnelig en lavere andel av plantallene enn av opptaksrammene, men dette er snudd gjennom perioden.</w:t>
      </w:r>
      <w:r w:rsidR="003C26BF" w:rsidRPr="00EC1134">
        <w:rPr>
          <w:lang w:val="nb-NO" w:eastAsia="en-US"/>
        </w:rPr>
        <w:t xml:space="preserve"> For ØI er andelen av </w:t>
      </w:r>
      <w:r w:rsidR="00EC1134" w:rsidRPr="00EC1134">
        <w:rPr>
          <w:lang w:val="nb-NO" w:eastAsia="en-US"/>
        </w:rPr>
        <w:t>opptaksrammene</w:t>
      </w:r>
      <w:r w:rsidR="00826CD4" w:rsidRPr="00EC1134">
        <w:rPr>
          <w:lang w:val="nb-NO" w:eastAsia="en-US"/>
        </w:rPr>
        <w:t xml:space="preserve"> </w:t>
      </w:r>
      <w:r w:rsidR="003C26BF" w:rsidRPr="00EC1134">
        <w:rPr>
          <w:lang w:val="nb-NO" w:eastAsia="en-US"/>
        </w:rPr>
        <w:t>vært mer eller mindre konstant, mens andelen av</w:t>
      </w:r>
      <w:r w:rsidR="00826CD4" w:rsidRPr="00EC1134">
        <w:rPr>
          <w:lang w:val="nb-NO" w:eastAsia="en-US"/>
        </w:rPr>
        <w:t xml:space="preserve"> plantall </w:t>
      </w:r>
      <w:r w:rsidR="003C26BF" w:rsidRPr="00EC1134">
        <w:rPr>
          <w:lang w:val="nb-NO" w:eastAsia="en-US"/>
        </w:rPr>
        <w:t xml:space="preserve">har </w:t>
      </w:r>
      <w:r w:rsidR="00826CD4" w:rsidRPr="00EC1134">
        <w:rPr>
          <w:lang w:val="nb-NO" w:eastAsia="en-US"/>
        </w:rPr>
        <w:t>falt gjennom perioden</w:t>
      </w:r>
      <w:r w:rsidR="00EC1134" w:rsidRPr="00EC1134">
        <w:rPr>
          <w:lang w:val="nb-NO" w:eastAsia="en-US"/>
        </w:rPr>
        <w:t>; andelen av plantall ligger allikevel fremdeles høyere enn andelen av opptaksrammene</w:t>
      </w:r>
      <w:r w:rsidR="00826CD4" w:rsidRPr="00EC1134">
        <w:rPr>
          <w:lang w:val="nb-NO" w:eastAsia="en-US"/>
        </w:rPr>
        <w:t>.</w:t>
      </w:r>
    </w:p>
    <w:p w:rsidR="00FA71A8" w:rsidRPr="00EC1134" w:rsidRDefault="002B02F9" w:rsidP="00FA71A8">
      <w:pPr>
        <w:pStyle w:val="BodyText"/>
        <w:rPr>
          <w:lang w:val="nb-NO" w:eastAsia="en-US"/>
        </w:rPr>
      </w:pPr>
      <w:r>
        <w:rPr>
          <w:b/>
          <w:lang w:val="nb-NO" w:eastAsia="en-US"/>
        </w:rPr>
        <w:t>Foreløpig k</w:t>
      </w:r>
      <w:r w:rsidR="00AC0AE8" w:rsidRPr="00EC1134">
        <w:rPr>
          <w:b/>
          <w:lang w:val="nb-NO" w:eastAsia="en-US"/>
        </w:rPr>
        <w:t>onklusjon:</w:t>
      </w:r>
      <w:r w:rsidR="00AC0AE8" w:rsidRPr="00EC1134">
        <w:rPr>
          <w:lang w:val="nb-NO" w:eastAsia="en-US"/>
        </w:rPr>
        <w:t xml:space="preserve"> Det innføres faste tilpasningsledd for å nøytralisere virkningen av</w:t>
      </w:r>
      <w:r w:rsidR="00A1680B" w:rsidRPr="00EC1134">
        <w:rPr>
          <w:lang w:val="nb-NO" w:eastAsia="en-US"/>
        </w:rPr>
        <w:t xml:space="preserve"> ny modell i første budsjettår.</w:t>
      </w:r>
      <w:r w:rsidR="00563FB2" w:rsidRPr="00EC1134">
        <w:rPr>
          <w:lang w:val="nb-NO" w:eastAsia="en-US"/>
        </w:rPr>
        <w:t xml:space="preserve"> Fastsettelsen av disse bør ta høyde for økningen av PSIs opptaksrammer.</w:t>
      </w:r>
    </w:p>
    <w:p w:rsidR="00AC0AE8" w:rsidRPr="00EC1134" w:rsidRDefault="00BA2936" w:rsidP="00AC0AE8">
      <w:pPr>
        <w:pStyle w:val="Heading2"/>
      </w:pPr>
      <w:r w:rsidRPr="00EC1134">
        <w:t>Justering av tilpasningsledd</w:t>
      </w:r>
    </w:p>
    <w:p w:rsidR="003738E8" w:rsidRPr="00EC1134" w:rsidRDefault="00D362AD" w:rsidP="00A97546">
      <w:pPr>
        <w:pStyle w:val="BodyText"/>
        <w:rPr>
          <w:lang w:val="nb-NO" w:eastAsia="en-US"/>
        </w:rPr>
      </w:pPr>
      <w:r w:rsidRPr="00EC1134">
        <w:rPr>
          <w:lang w:val="nb-NO" w:eastAsia="en-US"/>
        </w:rPr>
        <w:t xml:space="preserve">Dersom det legges inn faste tilpasningsledd som beregnet ovenfor, vil enhetens budsjetter ikke endres som følge av omleggingen av modell alene. Det er illustrert i </w:t>
      </w:r>
      <w:r w:rsidRPr="00EC1134">
        <w:rPr>
          <w:lang w:val="nb-NO" w:eastAsia="en-US"/>
        </w:rPr>
        <w:fldChar w:fldCharType="begin"/>
      </w:r>
      <w:r w:rsidRPr="00EC1134">
        <w:rPr>
          <w:lang w:val="nb-NO" w:eastAsia="en-US"/>
        </w:rPr>
        <w:instrText xml:space="preserve"> REF _Ref509501490 \h \*Lower </w:instrText>
      </w:r>
      <w:r w:rsidRPr="00EC1134">
        <w:rPr>
          <w:lang w:val="nb-NO" w:eastAsia="en-US"/>
        </w:rPr>
      </w:r>
      <w:r w:rsidRPr="00EC1134">
        <w:rPr>
          <w:lang w:val="nb-NO" w:eastAsia="en-US"/>
        </w:rPr>
        <w:fldChar w:fldCharType="separate"/>
      </w:r>
      <w:r w:rsidR="00B759DD" w:rsidRPr="00EC1134">
        <w:rPr>
          <w:lang w:val="nb-NO"/>
        </w:rPr>
        <w:t xml:space="preserve">tabell </w:t>
      </w:r>
      <w:r w:rsidR="00B759DD">
        <w:rPr>
          <w:noProof/>
          <w:lang w:val="nb-NO"/>
        </w:rPr>
        <w:t>16</w:t>
      </w:r>
      <w:r w:rsidRPr="00EC1134">
        <w:rPr>
          <w:lang w:val="nb-NO" w:eastAsia="en-US"/>
        </w:rPr>
        <w:fldChar w:fldCharType="end"/>
      </w:r>
      <w:r w:rsidRPr="00EC1134">
        <w:rPr>
          <w:lang w:val="nb-NO" w:eastAsia="en-US"/>
        </w:rPr>
        <w:t xml:space="preserve"> som viser </w:t>
      </w:r>
      <w:r w:rsidR="003738E8" w:rsidRPr="00EC1134">
        <w:rPr>
          <w:lang w:val="nb-NO" w:eastAsia="en-US"/>
        </w:rPr>
        <w:t xml:space="preserve">totalbudsjetter </w:t>
      </w:r>
      <w:r w:rsidRPr="00EC1134">
        <w:rPr>
          <w:lang w:val="nb-NO" w:eastAsia="en-US"/>
        </w:rPr>
        <w:t>over fem år med samme budsjettforutsetninger som for 2018 i alle år.</w:t>
      </w:r>
    </w:p>
    <w:p w:rsidR="00D362AD" w:rsidRPr="00EC1134" w:rsidRDefault="00D362AD" w:rsidP="00D362AD">
      <w:pPr>
        <w:pStyle w:val="Caption"/>
        <w:keepNext/>
        <w:rPr>
          <w:lang w:val="nb-NO"/>
        </w:rPr>
      </w:pPr>
      <w:bookmarkStart w:id="15" w:name="_Ref509501490"/>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16</w:t>
      </w:r>
      <w:r w:rsidRPr="00EC1134">
        <w:rPr>
          <w:lang w:val="nb-NO"/>
        </w:rPr>
        <w:fldChar w:fldCharType="end"/>
      </w:r>
      <w:bookmarkEnd w:id="15"/>
      <w:r w:rsidRPr="00EC1134">
        <w:rPr>
          <w:lang w:val="nb-NO"/>
        </w:rPr>
        <w:t>: Budsjett med tilpasningsledd, millioner kroner</w:t>
      </w:r>
    </w:p>
    <w:tbl>
      <w:tblPr>
        <w:tblW w:w="5000" w:type="pct"/>
        <w:tblCellMar>
          <w:left w:w="70" w:type="dxa"/>
          <w:right w:w="70" w:type="dxa"/>
        </w:tblCellMar>
        <w:tblLook w:val="04A0" w:firstRow="1" w:lastRow="0" w:firstColumn="1" w:lastColumn="0" w:noHBand="0" w:noVBand="1"/>
      </w:tblPr>
      <w:tblGrid>
        <w:gridCol w:w="1384"/>
        <w:gridCol w:w="1383"/>
        <w:gridCol w:w="1383"/>
        <w:gridCol w:w="1383"/>
        <w:gridCol w:w="1383"/>
        <w:gridCol w:w="1383"/>
      </w:tblGrid>
      <w:tr w:rsidR="001432C6" w:rsidRPr="00A97546" w:rsidTr="001432C6">
        <w:trPr>
          <w:trHeight w:val="360"/>
        </w:trPr>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rPr>
                <w:rFonts w:eastAsia="Times New Roman" w:cs="Times New Roman"/>
                <w:color w:val="000000"/>
                <w:sz w:val="22"/>
                <w:szCs w:val="22"/>
                <w:lang w:eastAsia="nb-NO"/>
              </w:rPr>
            </w:pPr>
            <w:r w:rsidRPr="00A97546">
              <w:rPr>
                <w:rFonts w:eastAsia="Times New Roman" w:cs="Times New Roman"/>
                <w:color w:val="000000"/>
                <w:sz w:val="22"/>
                <w:szCs w:val="22"/>
                <w:lang w:eastAsia="nb-NO"/>
              </w:rPr>
              <w:t> </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1</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2</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3</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4</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5</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ARENA</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18 437</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18 437</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18 437</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18 437</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18 437</w:t>
            </w:r>
          </w:p>
        </w:tc>
      </w:tr>
      <w:tr w:rsidR="001432C6" w:rsidRPr="00A97546" w:rsidTr="001432C6">
        <w:trPr>
          <w:trHeight w:val="390"/>
        </w:trPr>
        <w:tc>
          <w:tcPr>
            <w:tcW w:w="833" w:type="pct"/>
            <w:tcBorders>
              <w:top w:val="nil"/>
              <w:left w:val="nil"/>
              <w:bottom w:val="nil"/>
              <w:right w:val="nil"/>
            </w:tcBorders>
            <w:shd w:val="clear" w:color="auto" w:fill="auto"/>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ISS</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81 456</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81 456</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81 456</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81 456</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81 456</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ISV</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67 481</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67 481</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67 481</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67 481</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67 481</w:t>
            </w:r>
          </w:p>
        </w:tc>
      </w:tr>
      <w:tr w:rsidR="001432C6" w:rsidRPr="00A97546" w:rsidTr="001432C6">
        <w:trPr>
          <w:trHeight w:val="345"/>
        </w:trPr>
        <w:tc>
          <w:tcPr>
            <w:tcW w:w="833" w:type="pct"/>
            <w:tcBorders>
              <w:top w:val="nil"/>
              <w:left w:val="nil"/>
              <w:bottom w:val="nil"/>
              <w:right w:val="nil"/>
            </w:tcBorders>
            <w:shd w:val="clear" w:color="auto" w:fill="auto"/>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PSI</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197 977</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197 977</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197 977</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197 977</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197 977</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SAI</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38 526</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38 526</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38 526</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38 526</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38 526</w:t>
            </w:r>
          </w:p>
        </w:tc>
      </w:tr>
      <w:tr w:rsidR="001432C6" w:rsidRPr="00A97546" w:rsidTr="001432C6">
        <w:trPr>
          <w:trHeight w:val="345"/>
        </w:trPr>
        <w:tc>
          <w:tcPr>
            <w:tcW w:w="833" w:type="pct"/>
            <w:tcBorders>
              <w:top w:val="nil"/>
              <w:left w:val="nil"/>
              <w:bottom w:val="nil"/>
              <w:right w:val="nil"/>
            </w:tcBorders>
            <w:shd w:val="clear" w:color="auto" w:fill="auto"/>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TIK</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25 605</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25 605</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25 605</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25 605</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25 605</w:t>
            </w:r>
          </w:p>
        </w:tc>
      </w:tr>
      <w:tr w:rsidR="001432C6" w:rsidRPr="00A97546" w:rsidTr="001432C6">
        <w:trPr>
          <w:trHeight w:val="360"/>
        </w:trPr>
        <w:tc>
          <w:tcPr>
            <w:tcW w:w="833" w:type="pct"/>
            <w:tcBorders>
              <w:top w:val="nil"/>
              <w:left w:val="nil"/>
              <w:bottom w:val="single" w:sz="8" w:space="0" w:color="auto"/>
              <w:right w:val="nil"/>
            </w:tcBorders>
            <w:shd w:val="clear" w:color="000000" w:fill="CCCCCC"/>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ØI</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84 653</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84 653</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84 653</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84 653</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84 653</w:t>
            </w:r>
          </w:p>
        </w:tc>
      </w:tr>
    </w:tbl>
    <w:p w:rsidR="00D362AD" w:rsidRPr="00EC1134" w:rsidRDefault="003738E8" w:rsidP="00D362AD">
      <w:pPr>
        <w:pStyle w:val="BodyText"/>
        <w:rPr>
          <w:sz w:val="18"/>
          <w:lang w:val="nb-NO"/>
        </w:rPr>
      </w:pPr>
      <w:r w:rsidRPr="00EC1134">
        <w:rPr>
          <w:sz w:val="18"/>
          <w:lang w:val="nb-NO"/>
        </w:rPr>
        <w:t xml:space="preserve"> </w:t>
      </w:r>
    </w:p>
    <w:p w:rsidR="003738E8" w:rsidRPr="00EC1134" w:rsidRDefault="00D362AD" w:rsidP="003738E8">
      <w:pPr>
        <w:pStyle w:val="BodyText"/>
        <w:rPr>
          <w:lang w:val="nb-NO" w:eastAsia="en-US"/>
        </w:rPr>
      </w:pPr>
      <w:r w:rsidRPr="00EC1134">
        <w:rPr>
          <w:lang w:val="nb-NO" w:eastAsia="en-US"/>
        </w:rPr>
        <w:t>Dersom man istedenfor fjernet tilpasningsleddene gradvis over en femårsperiode</w:t>
      </w:r>
      <w:r w:rsidR="003738E8" w:rsidRPr="00EC1134">
        <w:rPr>
          <w:lang w:val="nb-NO" w:eastAsia="en-US"/>
        </w:rPr>
        <w:t xml:space="preserve"> (altså med 20 prosentpoeng nedjustering av de opprinnelige tilpasningsleddene i hvert år)</w:t>
      </w:r>
      <w:r w:rsidRPr="00EC1134">
        <w:rPr>
          <w:lang w:val="nb-NO" w:eastAsia="en-US"/>
        </w:rPr>
        <w:t>, ville budsjett</w:t>
      </w:r>
      <w:r w:rsidR="003738E8" w:rsidRPr="00EC1134">
        <w:rPr>
          <w:lang w:val="nb-NO" w:eastAsia="en-US"/>
        </w:rPr>
        <w:t xml:space="preserve">ene bli som vist i </w:t>
      </w:r>
      <w:r w:rsidR="003738E8" w:rsidRPr="00EC1134">
        <w:rPr>
          <w:lang w:val="nb-NO" w:eastAsia="en-US"/>
        </w:rPr>
        <w:fldChar w:fldCharType="begin"/>
      </w:r>
      <w:r w:rsidR="003738E8" w:rsidRPr="00EC1134">
        <w:rPr>
          <w:lang w:val="nb-NO" w:eastAsia="en-US"/>
        </w:rPr>
        <w:instrText xml:space="preserve"> REF _Ref509501832 \h \*Lower </w:instrText>
      </w:r>
      <w:r w:rsidR="003738E8" w:rsidRPr="00EC1134">
        <w:rPr>
          <w:lang w:val="nb-NO" w:eastAsia="en-US"/>
        </w:rPr>
      </w:r>
      <w:r w:rsidR="003738E8" w:rsidRPr="00EC1134">
        <w:rPr>
          <w:lang w:val="nb-NO" w:eastAsia="en-US"/>
        </w:rPr>
        <w:fldChar w:fldCharType="separate"/>
      </w:r>
      <w:r w:rsidR="00B759DD" w:rsidRPr="00EC1134">
        <w:rPr>
          <w:lang w:val="nb-NO"/>
        </w:rPr>
        <w:t xml:space="preserve">tabell </w:t>
      </w:r>
      <w:r w:rsidR="00B759DD">
        <w:rPr>
          <w:noProof/>
          <w:lang w:val="nb-NO"/>
        </w:rPr>
        <w:t>17</w:t>
      </w:r>
      <w:r w:rsidR="003738E8" w:rsidRPr="00EC1134">
        <w:rPr>
          <w:lang w:val="nb-NO" w:eastAsia="en-US"/>
        </w:rPr>
        <w:fldChar w:fldCharType="end"/>
      </w:r>
      <w:r w:rsidR="003738E8" w:rsidRPr="00EC1134">
        <w:rPr>
          <w:lang w:val="nb-NO" w:eastAsia="en-US"/>
        </w:rPr>
        <w:t>.</w:t>
      </w:r>
    </w:p>
    <w:p w:rsidR="009020E5" w:rsidRDefault="003738E8" w:rsidP="00A97546">
      <w:pPr>
        <w:pStyle w:val="Caption"/>
        <w:keepNext/>
        <w:keepLines/>
        <w:spacing w:line="240" w:lineRule="auto"/>
        <w:rPr>
          <w:lang w:val="nb-NO"/>
        </w:rPr>
      </w:pPr>
      <w:bookmarkStart w:id="16" w:name="_Ref509501832"/>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17</w:t>
      </w:r>
      <w:r w:rsidRPr="00EC1134">
        <w:rPr>
          <w:lang w:val="nb-NO"/>
        </w:rPr>
        <w:fldChar w:fldCharType="end"/>
      </w:r>
      <w:bookmarkEnd w:id="16"/>
      <w:r w:rsidRPr="00EC1134">
        <w:rPr>
          <w:lang w:val="nb-NO"/>
        </w:rPr>
        <w:t>: Budsjett med gradvis fjerning av tilpasningsledd, millioner kroner</w:t>
      </w:r>
      <w:r w:rsidR="009020E5">
        <w:rPr>
          <w:lang w:val="nb-NO"/>
        </w:rPr>
        <w:t xml:space="preserve">. </w:t>
      </w:r>
    </w:p>
    <w:p w:rsidR="003738E8" w:rsidRPr="00EC1134" w:rsidRDefault="009020E5" w:rsidP="00A97546">
      <w:pPr>
        <w:pStyle w:val="Caption"/>
        <w:keepNext/>
        <w:keepLines/>
        <w:spacing w:line="240" w:lineRule="auto"/>
        <w:rPr>
          <w:lang w:val="nb-NO"/>
        </w:rPr>
      </w:pPr>
      <w:r>
        <w:rPr>
          <w:lang w:val="nb-NO"/>
        </w:rPr>
        <w:t>Altern</w:t>
      </w:r>
      <w:r w:rsidR="00B41BE5">
        <w:rPr>
          <w:lang w:val="nb-NO"/>
        </w:rPr>
        <w:t>a</w:t>
      </w:r>
      <w:r>
        <w:rPr>
          <w:lang w:val="nb-NO"/>
        </w:rPr>
        <w:t>tiv 1</w:t>
      </w:r>
    </w:p>
    <w:tbl>
      <w:tblPr>
        <w:tblW w:w="5000" w:type="pct"/>
        <w:tblCellMar>
          <w:left w:w="70" w:type="dxa"/>
          <w:right w:w="70" w:type="dxa"/>
        </w:tblCellMar>
        <w:tblLook w:val="04A0" w:firstRow="1" w:lastRow="0" w:firstColumn="1" w:lastColumn="0" w:noHBand="0" w:noVBand="1"/>
      </w:tblPr>
      <w:tblGrid>
        <w:gridCol w:w="1384"/>
        <w:gridCol w:w="1383"/>
        <w:gridCol w:w="1383"/>
        <w:gridCol w:w="1383"/>
        <w:gridCol w:w="1383"/>
        <w:gridCol w:w="1383"/>
      </w:tblGrid>
      <w:tr w:rsidR="001432C6" w:rsidRPr="00A97546" w:rsidTr="001432C6">
        <w:trPr>
          <w:trHeight w:val="360"/>
        </w:trPr>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A97546">
            <w:pPr>
              <w:keepNext/>
              <w:keepLines/>
              <w:rPr>
                <w:rFonts w:eastAsia="Times New Roman" w:cs="Times New Roman"/>
                <w:color w:val="000000"/>
                <w:sz w:val="22"/>
                <w:szCs w:val="22"/>
                <w:lang w:eastAsia="nb-NO"/>
              </w:rPr>
            </w:pPr>
            <w:r w:rsidRPr="00A97546">
              <w:rPr>
                <w:rFonts w:eastAsia="Times New Roman" w:cs="Times New Roman"/>
                <w:color w:val="000000"/>
                <w:sz w:val="22"/>
                <w:szCs w:val="22"/>
                <w:lang w:eastAsia="nb-NO"/>
              </w:rPr>
              <w:t> </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A97546">
            <w:pPr>
              <w:keepNext/>
              <w:keepLines/>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1</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A97546">
            <w:pPr>
              <w:keepNext/>
              <w:keepLines/>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2</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A97546">
            <w:pPr>
              <w:keepNext/>
              <w:keepLines/>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3</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A97546">
            <w:pPr>
              <w:keepNext/>
              <w:keepLines/>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4</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A97546">
            <w:pPr>
              <w:keepNext/>
              <w:keepLines/>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5</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ARENA</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17 855</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17 273</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16 691</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16 109</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15 527</w:t>
            </w:r>
          </w:p>
        </w:tc>
      </w:tr>
      <w:tr w:rsidR="001432C6" w:rsidRPr="00A97546" w:rsidTr="001432C6">
        <w:trPr>
          <w:trHeight w:val="390"/>
        </w:trPr>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ISS</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80 252</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79 048</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77 844</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76 640</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75 436</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ISV</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68 072</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68 663</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69 254</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69 845</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70 436</w:t>
            </w:r>
          </w:p>
        </w:tc>
      </w:tr>
      <w:tr w:rsidR="001432C6" w:rsidRPr="00A97546" w:rsidTr="001432C6">
        <w:trPr>
          <w:trHeight w:val="345"/>
        </w:trPr>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PSI</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201 593</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205 209</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208 825</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212 442</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216 058</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SAI</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37 664</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36 802</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35 940</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35 078</w:t>
            </w:r>
          </w:p>
        </w:tc>
        <w:tc>
          <w:tcPr>
            <w:tcW w:w="833" w:type="pct"/>
            <w:tcBorders>
              <w:top w:val="nil"/>
              <w:left w:val="nil"/>
              <w:bottom w:val="nil"/>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34 216</w:t>
            </w:r>
          </w:p>
        </w:tc>
      </w:tr>
      <w:tr w:rsidR="001432C6" w:rsidRPr="00A97546" w:rsidTr="001432C6">
        <w:trPr>
          <w:trHeight w:val="345"/>
        </w:trPr>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TIK</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24 978</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24 351</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23 724</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23 097</w:t>
            </w:r>
          </w:p>
        </w:tc>
        <w:tc>
          <w:tcPr>
            <w:tcW w:w="833" w:type="pct"/>
            <w:tcBorders>
              <w:top w:val="nil"/>
              <w:left w:val="nil"/>
              <w:bottom w:val="nil"/>
              <w:right w:val="nil"/>
            </w:tcBorders>
            <w:shd w:val="clear" w:color="auto" w:fill="auto"/>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22 470</w:t>
            </w:r>
          </w:p>
        </w:tc>
      </w:tr>
      <w:tr w:rsidR="001432C6" w:rsidRPr="00A97546" w:rsidTr="001432C6">
        <w:trPr>
          <w:trHeight w:val="360"/>
        </w:trPr>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keepNext/>
              <w:keepLines/>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ØI</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83 721</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82 789</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81 857</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80 925</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keepNext/>
              <w:keepLines/>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79 993</w:t>
            </w:r>
          </w:p>
        </w:tc>
      </w:tr>
    </w:tbl>
    <w:p w:rsidR="003738E8" w:rsidRPr="00EC1134" w:rsidRDefault="003738E8" w:rsidP="003738E8">
      <w:pPr>
        <w:pStyle w:val="BodyText"/>
        <w:rPr>
          <w:sz w:val="18"/>
          <w:lang w:val="nb-NO"/>
        </w:rPr>
      </w:pPr>
      <w:r w:rsidRPr="00EC1134">
        <w:rPr>
          <w:sz w:val="18"/>
          <w:lang w:val="nb-NO"/>
        </w:rPr>
        <w:t xml:space="preserve"> </w:t>
      </w:r>
    </w:p>
    <w:p w:rsidR="003738E8" w:rsidRDefault="003738E8" w:rsidP="003738E8">
      <w:pPr>
        <w:pStyle w:val="BodyText"/>
        <w:rPr>
          <w:lang w:val="nb-NO" w:eastAsia="en-US"/>
        </w:rPr>
      </w:pPr>
      <w:r w:rsidRPr="00EC1134">
        <w:rPr>
          <w:lang w:val="nb-NO" w:eastAsia="en-US"/>
        </w:rPr>
        <w:fldChar w:fldCharType="begin"/>
      </w:r>
      <w:r w:rsidRPr="00EC1134">
        <w:rPr>
          <w:lang w:val="nb-NO" w:eastAsia="en-US"/>
        </w:rPr>
        <w:instrText xml:space="preserve"> REF _Ref509502026 \h </w:instrText>
      </w:r>
      <w:r w:rsidRPr="00EC1134">
        <w:rPr>
          <w:lang w:val="nb-NO" w:eastAsia="en-US"/>
        </w:rPr>
      </w:r>
      <w:r w:rsidRPr="00EC1134">
        <w:rPr>
          <w:lang w:val="nb-NO" w:eastAsia="en-US"/>
        </w:rPr>
        <w:fldChar w:fldCharType="separate"/>
      </w:r>
      <w:r w:rsidR="00B759DD" w:rsidRPr="00EC1134">
        <w:rPr>
          <w:lang w:val="nb-NO"/>
        </w:rPr>
        <w:t xml:space="preserve">Tabell </w:t>
      </w:r>
      <w:r w:rsidR="00B759DD">
        <w:rPr>
          <w:noProof/>
          <w:lang w:val="nb-NO"/>
        </w:rPr>
        <w:t>18</w:t>
      </w:r>
      <w:r w:rsidRPr="00EC1134">
        <w:rPr>
          <w:lang w:val="nb-NO" w:eastAsia="en-US"/>
        </w:rPr>
        <w:fldChar w:fldCharType="end"/>
      </w:r>
      <w:r w:rsidRPr="00EC1134">
        <w:rPr>
          <w:lang w:val="nb-NO" w:eastAsia="en-US"/>
        </w:rPr>
        <w:t xml:space="preserve"> viser et alternativ der halvdelen av tilpasningsleddene fjernes i første år, og den resterende halvdelen fjernes gradvis over resten av perioden.</w:t>
      </w:r>
    </w:p>
    <w:p w:rsidR="00525902" w:rsidRDefault="00525902" w:rsidP="003738E8">
      <w:pPr>
        <w:pStyle w:val="BodyText"/>
        <w:rPr>
          <w:lang w:val="nb-NO" w:eastAsia="en-US"/>
        </w:rPr>
      </w:pPr>
    </w:p>
    <w:p w:rsidR="00525902" w:rsidRDefault="00525902" w:rsidP="003738E8">
      <w:pPr>
        <w:pStyle w:val="BodyText"/>
        <w:rPr>
          <w:lang w:val="nb-NO" w:eastAsia="en-US"/>
        </w:rPr>
      </w:pPr>
    </w:p>
    <w:p w:rsidR="00525902" w:rsidRPr="00EC1134" w:rsidRDefault="00525902" w:rsidP="003738E8">
      <w:pPr>
        <w:pStyle w:val="BodyText"/>
        <w:rPr>
          <w:lang w:val="nb-NO" w:eastAsia="en-US"/>
        </w:rPr>
      </w:pPr>
    </w:p>
    <w:p w:rsidR="009020E5" w:rsidRDefault="003738E8" w:rsidP="003738E8">
      <w:pPr>
        <w:pStyle w:val="Caption"/>
        <w:keepNext/>
        <w:rPr>
          <w:lang w:val="nb-NO"/>
        </w:rPr>
      </w:pPr>
      <w:bookmarkStart w:id="17" w:name="_Ref509502026"/>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18</w:t>
      </w:r>
      <w:r w:rsidRPr="00EC1134">
        <w:rPr>
          <w:lang w:val="nb-NO"/>
        </w:rPr>
        <w:fldChar w:fldCharType="end"/>
      </w:r>
      <w:bookmarkEnd w:id="17"/>
      <w:r w:rsidRPr="00EC1134">
        <w:rPr>
          <w:lang w:val="nb-NO"/>
        </w:rPr>
        <w:t>: Budsjett med trinnvis fjerning av tilpasningsledd, millioner kroner</w:t>
      </w:r>
      <w:r w:rsidR="009020E5">
        <w:rPr>
          <w:lang w:val="nb-NO"/>
        </w:rPr>
        <w:t xml:space="preserve">. </w:t>
      </w:r>
    </w:p>
    <w:p w:rsidR="003738E8" w:rsidRPr="00EC1134" w:rsidRDefault="009020E5" w:rsidP="003738E8">
      <w:pPr>
        <w:pStyle w:val="Caption"/>
        <w:keepNext/>
        <w:rPr>
          <w:lang w:val="nb-NO"/>
        </w:rPr>
      </w:pPr>
      <w:r>
        <w:rPr>
          <w:lang w:val="nb-NO"/>
        </w:rPr>
        <w:t>Alternativ 2</w:t>
      </w:r>
    </w:p>
    <w:tbl>
      <w:tblPr>
        <w:tblW w:w="5000" w:type="pct"/>
        <w:tblCellMar>
          <w:left w:w="70" w:type="dxa"/>
          <w:right w:w="70" w:type="dxa"/>
        </w:tblCellMar>
        <w:tblLook w:val="04A0" w:firstRow="1" w:lastRow="0" w:firstColumn="1" w:lastColumn="0" w:noHBand="0" w:noVBand="1"/>
      </w:tblPr>
      <w:tblGrid>
        <w:gridCol w:w="1384"/>
        <w:gridCol w:w="1383"/>
        <w:gridCol w:w="1383"/>
        <w:gridCol w:w="1383"/>
        <w:gridCol w:w="1383"/>
        <w:gridCol w:w="1383"/>
      </w:tblGrid>
      <w:tr w:rsidR="001432C6" w:rsidRPr="00A97546" w:rsidTr="001432C6">
        <w:trPr>
          <w:trHeight w:val="360"/>
        </w:trPr>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rPr>
                <w:rFonts w:eastAsia="Times New Roman" w:cs="Times New Roman"/>
                <w:color w:val="000000"/>
                <w:sz w:val="22"/>
                <w:szCs w:val="22"/>
                <w:lang w:eastAsia="nb-NO"/>
              </w:rPr>
            </w:pPr>
            <w:r w:rsidRPr="00A97546">
              <w:rPr>
                <w:rFonts w:eastAsia="Times New Roman" w:cs="Times New Roman"/>
                <w:color w:val="000000"/>
                <w:sz w:val="22"/>
                <w:szCs w:val="22"/>
                <w:lang w:eastAsia="nb-NO"/>
              </w:rPr>
              <w:t> </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1</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2</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3</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4</w:t>
            </w:r>
          </w:p>
        </w:tc>
        <w:tc>
          <w:tcPr>
            <w:tcW w:w="833" w:type="pct"/>
            <w:tcBorders>
              <w:top w:val="single" w:sz="8" w:space="0" w:color="000000"/>
              <w:left w:val="nil"/>
              <w:bottom w:val="single" w:sz="8" w:space="0" w:color="000000"/>
              <w:right w:val="nil"/>
            </w:tcBorders>
            <w:shd w:val="clear" w:color="auto" w:fill="auto"/>
            <w:vAlign w:val="center"/>
            <w:hideMark/>
          </w:tcPr>
          <w:p w:rsidR="001432C6" w:rsidRPr="00A97546" w:rsidRDefault="001432C6" w:rsidP="001432C6">
            <w:pPr>
              <w:jc w:val="cente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År 5</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ARENA</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16 982</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16 618</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16 254</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15 891</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15 527</w:t>
            </w:r>
          </w:p>
        </w:tc>
      </w:tr>
      <w:tr w:rsidR="001432C6" w:rsidRPr="00A97546" w:rsidTr="001432C6">
        <w:trPr>
          <w:trHeight w:val="390"/>
        </w:trPr>
        <w:tc>
          <w:tcPr>
            <w:tcW w:w="833" w:type="pct"/>
            <w:tcBorders>
              <w:top w:val="nil"/>
              <w:left w:val="nil"/>
              <w:bottom w:val="nil"/>
              <w:right w:val="nil"/>
            </w:tcBorders>
            <w:shd w:val="clear" w:color="auto" w:fill="auto"/>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ISS</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78 446</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77 694</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76 941</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76 189</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75 436</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ISV</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68 959</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69 328</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69 697</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70 066</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70 436</w:t>
            </w:r>
          </w:p>
        </w:tc>
      </w:tr>
      <w:tr w:rsidR="001432C6" w:rsidRPr="00A97546" w:rsidTr="001432C6">
        <w:trPr>
          <w:trHeight w:val="345"/>
        </w:trPr>
        <w:tc>
          <w:tcPr>
            <w:tcW w:w="833" w:type="pct"/>
            <w:tcBorders>
              <w:top w:val="nil"/>
              <w:left w:val="nil"/>
              <w:bottom w:val="nil"/>
              <w:right w:val="nil"/>
            </w:tcBorders>
            <w:shd w:val="clear" w:color="auto" w:fill="auto"/>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PSI</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207 017</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209 277</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211 537</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213 798</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216 058</w:t>
            </w:r>
          </w:p>
        </w:tc>
      </w:tr>
      <w:tr w:rsidR="001432C6" w:rsidRPr="00A97546" w:rsidTr="001432C6">
        <w:trPr>
          <w:trHeight w:val="345"/>
        </w:trPr>
        <w:tc>
          <w:tcPr>
            <w:tcW w:w="833" w:type="pct"/>
            <w:tcBorders>
              <w:top w:val="nil"/>
              <w:left w:val="nil"/>
              <w:bottom w:val="nil"/>
              <w:right w:val="nil"/>
            </w:tcBorders>
            <w:shd w:val="clear" w:color="000000" w:fill="CCCCCC"/>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SAI</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36 371</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35 832</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35 294</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34 755</w:t>
            </w:r>
          </w:p>
        </w:tc>
        <w:tc>
          <w:tcPr>
            <w:tcW w:w="833" w:type="pct"/>
            <w:tcBorders>
              <w:top w:val="nil"/>
              <w:left w:val="nil"/>
              <w:bottom w:val="nil"/>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34 216</w:t>
            </w:r>
          </w:p>
        </w:tc>
      </w:tr>
      <w:tr w:rsidR="001432C6" w:rsidRPr="00A97546" w:rsidTr="001432C6">
        <w:trPr>
          <w:trHeight w:val="345"/>
        </w:trPr>
        <w:tc>
          <w:tcPr>
            <w:tcW w:w="833" w:type="pct"/>
            <w:tcBorders>
              <w:top w:val="nil"/>
              <w:left w:val="nil"/>
              <w:bottom w:val="nil"/>
              <w:right w:val="nil"/>
            </w:tcBorders>
            <w:shd w:val="clear" w:color="auto" w:fill="auto"/>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TIK</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24 038</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23 646</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23 254</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22 862</w:t>
            </w:r>
          </w:p>
        </w:tc>
        <w:tc>
          <w:tcPr>
            <w:tcW w:w="833" w:type="pct"/>
            <w:tcBorders>
              <w:top w:val="nil"/>
              <w:left w:val="nil"/>
              <w:bottom w:val="nil"/>
              <w:right w:val="nil"/>
            </w:tcBorders>
            <w:shd w:val="clear" w:color="auto" w:fill="auto"/>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22 470</w:t>
            </w:r>
          </w:p>
        </w:tc>
      </w:tr>
      <w:tr w:rsidR="001432C6" w:rsidRPr="00A97546" w:rsidTr="001432C6">
        <w:trPr>
          <w:trHeight w:val="360"/>
        </w:trPr>
        <w:tc>
          <w:tcPr>
            <w:tcW w:w="833" w:type="pct"/>
            <w:tcBorders>
              <w:top w:val="nil"/>
              <w:left w:val="nil"/>
              <w:bottom w:val="single" w:sz="8" w:space="0" w:color="auto"/>
              <w:right w:val="nil"/>
            </w:tcBorders>
            <w:shd w:val="clear" w:color="000000" w:fill="CCCCCC"/>
            <w:vAlign w:val="center"/>
            <w:hideMark/>
          </w:tcPr>
          <w:p w:rsidR="001432C6" w:rsidRPr="00A97546" w:rsidRDefault="001432C6" w:rsidP="001432C6">
            <w:pPr>
              <w:rPr>
                <w:rFonts w:eastAsia="Times New Roman" w:cs="Times New Roman"/>
                <w:b/>
                <w:bCs/>
                <w:color w:val="000000"/>
                <w:sz w:val="22"/>
                <w:szCs w:val="22"/>
                <w:lang w:eastAsia="nb-NO"/>
              </w:rPr>
            </w:pPr>
            <w:r w:rsidRPr="00A97546">
              <w:rPr>
                <w:rFonts w:eastAsia="Times New Roman" w:cs="Times New Roman"/>
                <w:b/>
                <w:bCs/>
                <w:color w:val="000000"/>
                <w:sz w:val="22"/>
                <w:szCs w:val="22"/>
                <w:lang w:eastAsia="nb-NO"/>
              </w:rPr>
              <w:t>ØI</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82 323</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81 740</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81 158</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80 575</w:t>
            </w:r>
          </w:p>
        </w:tc>
        <w:tc>
          <w:tcPr>
            <w:tcW w:w="833" w:type="pct"/>
            <w:tcBorders>
              <w:top w:val="nil"/>
              <w:left w:val="nil"/>
              <w:bottom w:val="single" w:sz="8" w:space="0" w:color="auto"/>
              <w:right w:val="nil"/>
            </w:tcBorders>
            <w:shd w:val="clear" w:color="000000" w:fill="CCCCCC"/>
            <w:vAlign w:val="center"/>
            <w:hideMark/>
          </w:tcPr>
          <w:p w:rsidR="001432C6" w:rsidRPr="00A97546" w:rsidRDefault="001432C6" w:rsidP="00A97546">
            <w:pPr>
              <w:ind w:right="284"/>
              <w:jc w:val="right"/>
              <w:rPr>
                <w:rFonts w:eastAsia="Times New Roman" w:cs="Times New Roman"/>
                <w:color w:val="000000"/>
                <w:sz w:val="22"/>
                <w:szCs w:val="22"/>
                <w:lang w:eastAsia="nb-NO"/>
              </w:rPr>
            </w:pPr>
            <w:r w:rsidRPr="00A97546">
              <w:rPr>
                <w:rFonts w:eastAsia="Times New Roman" w:cs="Times New Roman"/>
                <w:color w:val="000000"/>
                <w:sz w:val="22"/>
                <w:szCs w:val="22"/>
                <w:lang w:eastAsia="nb-NO"/>
              </w:rPr>
              <w:t>79 993</w:t>
            </w:r>
          </w:p>
        </w:tc>
      </w:tr>
    </w:tbl>
    <w:p w:rsidR="003738E8" w:rsidRDefault="003738E8" w:rsidP="003738E8">
      <w:pPr>
        <w:pStyle w:val="BodyText"/>
        <w:rPr>
          <w:sz w:val="18"/>
          <w:lang w:val="nb-NO"/>
        </w:rPr>
      </w:pPr>
      <w:r w:rsidRPr="00EC1134">
        <w:rPr>
          <w:sz w:val="18"/>
          <w:lang w:val="nb-NO"/>
        </w:rPr>
        <w:t xml:space="preserve"> </w:t>
      </w:r>
    </w:p>
    <w:p w:rsidR="00C65362" w:rsidRPr="00C65362" w:rsidRDefault="00C65362" w:rsidP="003738E8">
      <w:pPr>
        <w:pStyle w:val="BodyText"/>
        <w:rPr>
          <w:lang w:val="nb-NO"/>
        </w:rPr>
      </w:pPr>
      <w:r>
        <w:rPr>
          <w:lang w:val="nb-NO"/>
        </w:rPr>
        <w:t>Tabell 19 viser et alternativ der tilpasningsleddet reduseres gradvis fra år 2, men halvparten av tilpasningsleddet beholdes permanent.</w:t>
      </w:r>
    </w:p>
    <w:p w:rsidR="00B41BE5" w:rsidRDefault="009D4426" w:rsidP="009D4426">
      <w:pPr>
        <w:pStyle w:val="Caption"/>
        <w:keepNext/>
        <w:rPr>
          <w:lang w:val="nb-NO"/>
        </w:rPr>
      </w:pPr>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19</w:t>
      </w:r>
      <w:r w:rsidRPr="00EC1134">
        <w:rPr>
          <w:lang w:val="nb-NO"/>
        </w:rPr>
        <w:fldChar w:fldCharType="end"/>
      </w:r>
      <w:r w:rsidRPr="00EC1134">
        <w:rPr>
          <w:lang w:val="nb-NO"/>
        </w:rPr>
        <w:t>: Budsjett med trinnvis fjerning av tilpasningsledd, millioner kroner</w:t>
      </w:r>
      <w:r w:rsidR="00B41BE5">
        <w:rPr>
          <w:lang w:val="nb-NO"/>
        </w:rPr>
        <w:t xml:space="preserve">. </w:t>
      </w:r>
    </w:p>
    <w:p w:rsidR="009D4426" w:rsidRPr="00EC1134" w:rsidRDefault="00B41BE5" w:rsidP="009D4426">
      <w:pPr>
        <w:pStyle w:val="Caption"/>
        <w:keepNext/>
        <w:rPr>
          <w:lang w:val="nb-NO"/>
        </w:rPr>
      </w:pPr>
      <w:r>
        <w:rPr>
          <w:lang w:val="nb-NO"/>
        </w:rPr>
        <w:t>Alternativ 3</w:t>
      </w:r>
    </w:p>
    <w:tbl>
      <w:tblPr>
        <w:tblW w:w="5000" w:type="pct"/>
        <w:tblCellMar>
          <w:left w:w="70" w:type="dxa"/>
          <w:right w:w="70" w:type="dxa"/>
        </w:tblCellMar>
        <w:tblLook w:val="04A0" w:firstRow="1" w:lastRow="0" w:firstColumn="1" w:lastColumn="0" w:noHBand="0" w:noVBand="1"/>
      </w:tblPr>
      <w:tblGrid>
        <w:gridCol w:w="1384"/>
        <w:gridCol w:w="1383"/>
        <w:gridCol w:w="1383"/>
        <w:gridCol w:w="1383"/>
        <w:gridCol w:w="1383"/>
        <w:gridCol w:w="1383"/>
      </w:tblGrid>
      <w:tr w:rsidR="00C65362" w:rsidRPr="00C65362" w:rsidTr="00C65362">
        <w:trPr>
          <w:trHeight w:val="360"/>
        </w:trPr>
        <w:tc>
          <w:tcPr>
            <w:tcW w:w="833" w:type="pct"/>
            <w:tcBorders>
              <w:top w:val="single" w:sz="8" w:space="0" w:color="000000"/>
              <w:left w:val="nil"/>
              <w:bottom w:val="single" w:sz="8" w:space="0" w:color="000000"/>
              <w:right w:val="nil"/>
            </w:tcBorders>
            <w:shd w:val="clear" w:color="auto" w:fill="auto"/>
            <w:vAlign w:val="center"/>
            <w:hideMark/>
          </w:tcPr>
          <w:p w:rsidR="00C65362" w:rsidRPr="00C65362" w:rsidRDefault="00C65362" w:rsidP="00C65362">
            <w:pPr>
              <w:rPr>
                <w:rFonts w:ascii="Cambria" w:eastAsia="Times New Roman" w:hAnsi="Cambria" w:cs="Times New Roman"/>
                <w:color w:val="000000"/>
                <w:lang w:eastAsia="nb-NO"/>
              </w:rPr>
            </w:pPr>
            <w:r w:rsidRPr="00C65362">
              <w:rPr>
                <w:rFonts w:ascii="Cambria" w:eastAsia="Times New Roman" w:hAnsi="Cambria" w:cs="Times New Roman"/>
                <w:color w:val="000000"/>
                <w:lang w:eastAsia="nb-NO"/>
              </w:rPr>
              <w:t> </w:t>
            </w:r>
          </w:p>
        </w:tc>
        <w:tc>
          <w:tcPr>
            <w:tcW w:w="833" w:type="pct"/>
            <w:tcBorders>
              <w:top w:val="single" w:sz="8" w:space="0" w:color="000000"/>
              <w:left w:val="nil"/>
              <w:bottom w:val="single" w:sz="8" w:space="0" w:color="000000"/>
              <w:right w:val="nil"/>
            </w:tcBorders>
            <w:shd w:val="clear" w:color="auto" w:fill="auto"/>
            <w:vAlign w:val="center"/>
            <w:hideMark/>
          </w:tcPr>
          <w:p w:rsidR="00C65362" w:rsidRPr="00C65362" w:rsidRDefault="00C65362" w:rsidP="00C65362">
            <w:pPr>
              <w:jc w:val="center"/>
              <w:rPr>
                <w:rFonts w:eastAsia="Times New Roman" w:cs="Times New Roman"/>
                <w:b/>
                <w:bCs/>
                <w:color w:val="000000"/>
                <w:sz w:val="22"/>
                <w:szCs w:val="22"/>
                <w:lang w:eastAsia="nb-NO"/>
              </w:rPr>
            </w:pPr>
            <w:r w:rsidRPr="00C65362">
              <w:rPr>
                <w:rFonts w:eastAsia="Times New Roman" w:cs="Times New Roman"/>
                <w:b/>
                <w:bCs/>
                <w:color w:val="000000"/>
                <w:sz w:val="22"/>
                <w:szCs w:val="22"/>
                <w:lang w:eastAsia="nb-NO"/>
              </w:rPr>
              <w:t>År 1</w:t>
            </w:r>
          </w:p>
        </w:tc>
        <w:tc>
          <w:tcPr>
            <w:tcW w:w="833" w:type="pct"/>
            <w:tcBorders>
              <w:top w:val="single" w:sz="8" w:space="0" w:color="000000"/>
              <w:left w:val="nil"/>
              <w:bottom w:val="single" w:sz="8" w:space="0" w:color="000000"/>
              <w:right w:val="nil"/>
            </w:tcBorders>
            <w:shd w:val="clear" w:color="auto" w:fill="auto"/>
            <w:vAlign w:val="center"/>
            <w:hideMark/>
          </w:tcPr>
          <w:p w:rsidR="00C65362" w:rsidRPr="00C65362" w:rsidRDefault="00C65362" w:rsidP="00C65362">
            <w:pPr>
              <w:jc w:val="center"/>
              <w:rPr>
                <w:rFonts w:eastAsia="Times New Roman" w:cs="Times New Roman"/>
                <w:b/>
                <w:bCs/>
                <w:color w:val="000000"/>
                <w:sz w:val="22"/>
                <w:szCs w:val="22"/>
                <w:lang w:eastAsia="nb-NO"/>
              </w:rPr>
            </w:pPr>
            <w:r w:rsidRPr="00C65362">
              <w:rPr>
                <w:rFonts w:eastAsia="Times New Roman" w:cs="Times New Roman"/>
                <w:b/>
                <w:bCs/>
                <w:color w:val="000000"/>
                <w:sz w:val="22"/>
                <w:szCs w:val="22"/>
                <w:lang w:eastAsia="nb-NO"/>
              </w:rPr>
              <w:t>År 2</w:t>
            </w:r>
          </w:p>
        </w:tc>
        <w:tc>
          <w:tcPr>
            <w:tcW w:w="833" w:type="pct"/>
            <w:tcBorders>
              <w:top w:val="single" w:sz="8" w:space="0" w:color="000000"/>
              <w:left w:val="nil"/>
              <w:bottom w:val="single" w:sz="8" w:space="0" w:color="000000"/>
              <w:right w:val="nil"/>
            </w:tcBorders>
            <w:shd w:val="clear" w:color="auto" w:fill="auto"/>
            <w:vAlign w:val="center"/>
            <w:hideMark/>
          </w:tcPr>
          <w:p w:rsidR="00C65362" w:rsidRPr="00C65362" w:rsidRDefault="00C65362" w:rsidP="00C65362">
            <w:pPr>
              <w:jc w:val="center"/>
              <w:rPr>
                <w:rFonts w:eastAsia="Times New Roman" w:cs="Times New Roman"/>
                <w:b/>
                <w:bCs/>
                <w:color w:val="000000"/>
                <w:sz w:val="22"/>
                <w:szCs w:val="22"/>
                <w:lang w:eastAsia="nb-NO"/>
              </w:rPr>
            </w:pPr>
            <w:r w:rsidRPr="00C65362">
              <w:rPr>
                <w:rFonts w:eastAsia="Times New Roman" w:cs="Times New Roman"/>
                <w:b/>
                <w:bCs/>
                <w:color w:val="000000"/>
                <w:sz w:val="22"/>
                <w:szCs w:val="22"/>
                <w:lang w:eastAsia="nb-NO"/>
              </w:rPr>
              <w:t>År 3</w:t>
            </w:r>
          </w:p>
        </w:tc>
        <w:tc>
          <w:tcPr>
            <w:tcW w:w="833" w:type="pct"/>
            <w:tcBorders>
              <w:top w:val="single" w:sz="8" w:space="0" w:color="000000"/>
              <w:left w:val="nil"/>
              <w:bottom w:val="single" w:sz="8" w:space="0" w:color="000000"/>
              <w:right w:val="nil"/>
            </w:tcBorders>
            <w:shd w:val="clear" w:color="auto" w:fill="auto"/>
            <w:vAlign w:val="center"/>
            <w:hideMark/>
          </w:tcPr>
          <w:p w:rsidR="00C65362" w:rsidRPr="00C65362" w:rsidRDefault="00C65362" w:rsidP="00C65362">
            <w:pPr>
              <w:jc w:val="center"/>
              <w:rPr>
                <w:rFonts w:eastAsia="Times New Roman" w:cs="Times New Roman"/>
                <w:b/>
                <w:bCs/>
                <w:color w:val="000000"/>
                <w:sz w:val="22"/>
                <w:szCs w:val="22"/>
                <w:lang w:eastAsia="nb-NO"/>
              </w:rPr>
            </w:pPr>
            <w:r w:rsidRPr="00C65362">
              <w:rPr>
                <w:rFonts w:eastAsia="Times New Roman" w:cs="Times New Roman"/>
                <w:b/>
                <w:bCs/>
                <w:color w:val="000000"/>
                <w:sz w:val="22"/>
                <w:szCs w:val="22"/>
                <w:lang w:eastAsia="nb-NO"/>
              </w:rPr>
              <w:t>År 4</w:t>
            </w:r>
          </w:p>
        </w:tc>
        <w:tc>
          <w:tcPr>
            <w:tcW w:w="833" w:type="pct"/>
            <w:tcBorders>
              <w:top w:val="single" w:sz="8" w:space="0" w:color="000000"/>
              <w:left w:val="nil"/>
              <w:bottom w:val="single" w:sz="8" w:space="0" w:color="000000"/>
              <w:right w:val="nil"/>
            </w:tcBorders>
            <w:shd w:val="clear" w:color="auto" w:fill="auto"/>
            <w:vAlign w:val="center"/>
            <w:hideMark/>
          </w:tcPr>
          <w:p w:rsidR="00C65362" w:rsidRPr="00C65362" w:rsidRDefault="00C65362" w:rsidP="00C65362">
            <w:pPr>
              <w:jc w:val="center"/>
              <w:rPr>
                <w:rFonts w:eastAsia="Times New Roman" w:cs="Times New Roman"/>
                <w:b/>
                <w:bCs/>
                <w:color w:val="000000"/>
                <w:sz w:val="22"/>
                <w:szCs w:val="22"/>
                <w:lang w:eastAsia="nb-NO"/>
              </w:rPr>
            </w:pPr>
            <w:r w:rsidRPr="00C65362">
              <w:rPr>
                <w:rFonts w:eastAsia="Times New Roman" w:cs="Times New Roman"/>
                <w:b/>
                <w:bCs/>
                <w:color w:val="000000"/>
                <w:sz w:val="22"/>
                <w:szCs w:val="22"/>
                <w:lang w:eastAsia="nb-NO"/>
              </w:rPr>
              <w:t>År 5</w:t>
            </w:r>
          </w:p>
        </w:tc>
      </w:tr>
      <w:tr w:rsidR="00C65362" w:rsidRPr="00C65362" w:rsidTr="00C65362">
        <w:trPr>
          <w:trHeight w:val="390"/>
        </w:trPr>
        <w:tc>
          <w:tcPr>
            <w:tcW w:w="833" w:type="pct"/>
            <w:tcBorders>
              <w:top w:val="nil"/>
              <w:left w:val="nil"/>
              <w:bottom w:val="nil"/>
              <w:right w:val="nil"/>
            </w:tcBorders>
            <w:shd w:val="clear" w:color="000000" w:fill="CCCCCC"/>
            <w:vAlign w:val="center"/>
            <w:hideMark/>
          </w:tcPr>
          <w:p w:rsidR="00C65362" w:rsidRPr="00C65362" w:rsidRDefault="00C65362" w:rsidP="00C65362">
            <w:pPr>
              <w:rPr>
                <w:rFonts w:ascii="Cambria" w:eastAsia="Times New Roman" w:hAnsi="Cambria" w:cs="Times New Roman"/>
                <w:b/>
                <w:bCs/>
                <w:color w:val="000000"/>
                <w:sz w:val="22"/>
                <w:szCs w:val="22"/>
                <w:lang w:eastAsia="nb-NO"/>
              </w:rPr>
            </w:pPr>
            <w:r w:rsidRPr="00C65362">
              <w:rPr>
                <w:rFonts w:ascii="Cambria" w:eastAsia="Times New Roman" w:hAnsi="Cambria" w:cs="Times New Roman"/>
                <w:b/>
                <w:bCs/>
                <w:color w:val="000000"/>
                <w:sz w:val="22"/>
                <w:szCs w:val="22"/>
                <w:lang w:eastAsia="nb-NO"/>
              </w:rPr>
              <w:t>ARENA</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18 437</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18 073</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17 709</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17 346</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16 982</w:t>
            </w:r>
          </w:p>
        </w:tc>
      </w:tr>
      <w:tr w:rsidR="00C65362" w:rsidRPr="00C65362" w:rsidTr="00C65362">
        <w:trPr>
          <w:trHeight w:val="390"/>
        </w:trPr>
        <w:tc>
          <w:tcPr>
            <w:tcW w:w="833" w:type="pct"/>
            <w:tcBorders>
              <w:top w:val="nil"/>
              <w:left w:val="nil"/>
              <w:bottom w:val="nil"/>
              <w:right w:val="nil"/>
            </w:tcBorders>
            <w:shd w:val="clear" w:color="auto" w:fill="auto"/>
            <w:vAlign w:val="center"/>
            <w:hideMark/>
          </w:tcPr>
          <w:p w:rsidR="00C65362" w:rsidRPr="00C65362" w:rsidRDefault="00C65362" w:rsidP="00C65362">
            <w:pPr>
              <w:rPr>
                <w:rFonts w:ascii="Cambria" w:eastAsia="Times New Roman" w:hAnsi="Cambria" w:cs="Times New Roman"/>
                <w:b/>
                <w:bCs/>
                <w:color w:val="000000"/>
                <w:sz w:val="22"/>
                <w:szCs w:val="22"/>
                <w:lang w:eastAsia="nb-NO"/>
              </w:rPr>
            </w:pPr>
            <w:r w:rsidRPr="00C65362">
              <w:rPr>
                <w:rFonts w:ascii="Cambria" w:eastAsia="Times New Roman" w:hAnsi="Cambria" w:cs="Times New Roman"/>
                <w:b/>
                <w:bCs/>
                <w:color w:val="000000"/>
                <w:sz w:val="22"/>
                <w:szCs w:val="22"/>
                <w:lang w:eastAsia="nb-NO"/>
              </w:rPr>
              <w:t>ISS</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81 456</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80 703</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79 951</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79 199</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78 446</w:t>
            </w:r>
          </w:p>
        </w:tc>
      </w:tr>
      <w:tr w:rsidR="00C65362" w:rsidRPr="00C65362" w:rsidTr="00C65362">
        <w:trPr>
          <w:trHeight w:val="390"/>
        </w:trPr>
        <w:tc>
          <w:tcPr>
            <w:tcW w:w="833" w:type="pct"/>
            <w:tcBorders>
              <w:top w:val="nil"/>
              <w:left w:val="nil"/>
              <w:bottom w:val="nil"/>
              <w:right w:val="nil"/>
            </w:tcBorders>
            <w:shd w:val="clear" w:color="000000" w:fill="CCCCCC"/>
            <w:vAlign w:val="center"/>
            <w:hideMark/>
          </w:tcPr>
          <w:p w:rsidR="00C65362" w:rsidRPr="00C65362" w:rsidRDefault="00C65362" w:rsidP="00C65362">
            <w:pPr>
              <w:rPr>
                <w:rFonts w:ascii="Cambria" w:eastAsia="Times New Roman" w:hAnsi="Cambria" w:cs="Times New Roman"/>
                <w:b/>
                <w:bCs/>
                <w:color w:val="000000"/>
                <w:sz w:val="22"/>
                <w:szCs w:val="22"/>
                <w:lang w:eastAsia="nb-NO"/>
              </w:rPr>
            </w:pPr>
            <w:r w:rsidRPr="00C65362">
              <w:rPr>
                <w:rFonts w:ascii="Cambria" w:eastAsia="Times New Roman" w:hAnsi="Cambria" w:cs="Times New Roman"/>
                <w:b/>
                <w:bCs/>
                <w:color w:val="000000"/>
                <w:sz w:val="22"/>
                <w:szCs w:val="22"/>
                <w:lang w:eastAsia="nb-NO"/>
              </w:rPr>
              <w:t>ISV</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67 481</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67 851</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68 220</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68 589</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68 959</w:t>
            </w:r>
          </w:p>
        </w:tc>
      </w:tr>
      <w:tr w:rsidR="00C65362" w:rsidRPr="00C65362" w:rsidTr="00C65362">
        <w:trPr>
          <w:trHeight w:val="390"/>
        </w:trPr>
        <w:tc>
          <w:tcPr>
            <w:tcW w:w="833" w:type="pct"/>
            <w:tcBorders>
              <w:top w:val="nil"/>
              <w:left w:val="nil"/>
              <w:bottom w:val="nil"/>
              <w:right w:val="nil"/>
            </w:tcBorders>
            <w:shd w:val="clear" w:color="auto" w:fill="auto"/>
            <w:vAlign w:val="center"/>
            <w:hideMark/>
          </w:tcPr>
          <w:p w:rsidR="00C65362" w:rsidRPr="00C65362" w:rsidRDefault="00C65362" w:rsidP="00C65362">
            <w:pPr>
              <w:rPr>
                <w:rFonts w:ascii="Cambria" w:eastAsia="Times New Roman" w:hAnsi="Cambria" w:cs="Times New Roman"/>
                <w:b/>
                <w:bCs/>
                <w:color w:val="000000"/>
                <w:sz w:val="22"/>
                <w:szCs w:val="22"/>
                <w:lang w:eastAsia="nb-NO"/>
              </w:rPr>
            </w:pPr>
            <w:r w:rsidRPr="00C65362">
              <w:rPr>
                <w:rFonts w:ascii="Cambria" w:eastAsia="Times New Roman" w:hAnsi="Cambria" w:cs="Times New Roman"/>
                <w:b/>
                <w:bCs/>
                <w:color w:val="000000"/>
                <w:sz w:val="22"/>
                <w:szCs w:val="22"/>
                <w:lang w:eastAsia="nb-NO"/>
              </w:rPr>
              <w:t>PSI</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197 977</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200 237</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202 497</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204 757</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207 017</w:t>
            </w:r>
          </w:p>
        </w:tc>
      </w:tr>
      <w:tr w:rsidR="00C65362" w:rsidRPr="00C65362" w:rsidTr="00C65362">
        <w:trPr>
          <w:trHeight w:val="390"/>
        </w:trPr>
        <w:tc>
          <w:tcPr>
            <w:tcW w:w="833" w:type="pct"/>
            <w:tcBorders>
              <w:top w:val="nil"/>
              <w:left w:val="nil"/>
              <w:bottom w:val="nil"/>
              <w:right w:val="nil"/>
            </w:tcBorders>
            <w:shd w:val="clear" w:color="000000" w:fill="CCCCCC"/>
            <w:vAlign w:val="center"/>
            <w:hideMark/>
          </w:tcPr>
          <w:p w:rsidR="00C65362" w:rsidRPr="00C65362" w:rsidRDefault="00C65362" w:rsidP="00C65362">
            <w:pPr>
              <w:rPr>
                <w:rFonts w:ascii="Cambria" w:eastAsia="Times New Roman" w:hAnsi="Cambria" w:cs="Times New Roman"/>
                <w:b/>
                <w:bCs/>
                <w:color w:val="000000"/>
                <w:sz w:val="22"/>
                <w:szCs w:val="22"/>
                <w:lang w:eastAsia="nb-NO"/>
              </w:rPr>
            </w:pPr>
            <w:r w:rsidRPr="00C65362">
              <w:rPr>
                <w:rFonts w:ascii="Cambria" w:eastAsia="Times New Roman" w:hAnsi="Cambria" w:cs="Times New Roman"/>
                <w:b/>
                <w:bCs/>
                <w:color w:val="000000"/>
                <w:sz w:val="22"/>
                <w:szCs w:val="22"/>
                <w:lang w:eastAsia="nb-NO"/>
              </w:rPr>
              <w:t>SAI</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38 526</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37 987</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37 449</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36 910</w:t>
            </w:r>
          </w:p>
        </w:tc>
        <w:tc>
          <w:tcPr>
            <w:tcW w:w="833" w:type="pct"/>
            <w:tcBorders>
              <w:top w:val="nil"/>
              <w:left w:val="nil"/>
              <w:bottom w:val="nil"/>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36 371</w:t>
            </w:r>
          </w:p>
        </w:tc>
      </w:tr>
      <w:tr w:rsidR="00C65362" w:rsidRPr="00C65362" w:rsidTr="00C65362">
        <w:trPr>
          <w:trHeight w:val="390"/>
        </w:trPr>
        <w:tc>
          <w:tcPr>
            <w:tcW w:w="833" w:type="pct"/>
            <w:tcBorders>
              <w:top w:val="nil"/>
              <w:left w:val="nil"/>
              <w:bottom w:val="nil"/>
              <w:right w:val="nil"/>
            </w:tcBorders>
            <w:shd w:val="clear" w:color="auto" w:fill="auto"/>
            <w:vAlign w:val="center"/>
            <w:hideMark/>
          </w:tcPr>
          <w:p w:rsidR="00C65362" w:rsidRPr="00C65362" w:rsidRDefault="00C65362" w:rsidP="00C65362">
            <w:pPr>
              <w:rPr>
                <w:rFonts w:ascii="Cambria" w:eastAsia="Times New Roman" w:hAnsi="Cambria" w:cs="Times New Roman"/>
                <w:b/>
                <w:bCs/>
                <w:color w:val="000000"/>
                <w:sz w:val="22"/>
                <w:szCs w:val="22"/>
                <w:lang w:eastAsia="nb-NO"/>
              </w:rPr>
            </w:pPr>
            <w:r w:rsidRPr="00C65362">
              <w:rPr>
                <w:rFonts w:ascii="Cambria" w:eastAsia="Times New Roman" w:hAnsi="Cambria" w:cs="Times New Roman"/>
                <w:b/>
                <w:bCs/>
                <w:color w:val="000000"/>
                <w:sz w:val="22"/>
                <w:szCs w:val="22"/>
                <w:lang w:eastAsia="nb-NO"/>
              </w:rPr>
              <w:t>TIK</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25 605</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25 214</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24 822</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24 430</w:t>
            </w:r>
          </w:p>
        </w:tc>
        <w:tc>
          <w:tcPr>
            <w:tcW w:w="833" w:type="pct"/>
            <w:tcBorders>
              <w:top w:val="nil"/>
              <w:left w:val="nil"/>
              <w:bottom w:val="nil"/>
              <w:right w:val="nil"/>
            </w:tcBorders>
            <w:shd w:val="clear" w:color="auto" w:fill="auto"/>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24 038</w:t>
            </w:r>
          </w:p>
        </w:tc>
      </w:tr>
      <w:tr w:rsidR="00C65362" w:rsidRPr="00C65362" w:rsidTr="00C65362">
        <w:trPr>
          <w:trHeight w:val="405"/>
        </w:trPr>
        <w:tc>
          <w:tcPr>
            <w:tcW w:w="833" w:type="pct"/>
            <w:tcBorders>
              <w:top w:val="nil"/>
              <w:left w:val="nil"/>
              <w:bottom w:val="single" w:sz="8" w:space="0" w:color="auto"/>
              <w:right w:val="nil"/>
            </w:tcBorders>
            <w:shd w:val="clear" w:color="000000" w:fill="CCCCCC"/>
            <w:vAlign w:val="center"/>
            <w:hideMark/>
          </w:tcPr>
          <w:p w:rsidR="00C65362" w:rsidRPr="00C65362" w:rsidRDefault="00C65362" w:rsidP="00C65362">
            <w:pPr>
              <w:rPr>
                <w:rFonts w:ascii="Cambria" w:eastAsia="Times New Roman" w:hAnsi="Cambria" w:cs="Times New Roman"/>
                <w:b/>
                <w:bCs/>
                <w:color w:val="000000"/>
                <w:sz w:val="22"/>
                <w:szCs w:val="22"/>
                <w:lang w:eastAsia="nb-NO"/>
              </w:rPr>
            </w:pPr>
            <w:r w:rsidRPr="00C65362">
              <w:rPr>
                <w:rFonts w:ascii="Cambria" w:eastAsia="Times New Roman" w:hAnsi="Cambria" w:cs="Times New Roman"/>
                <w:b/>
                <w:bCs/>
                <w:color w:val="000000"/>
                <w:sz w:val="22"/>
                <w:szCs w:val="22"/>
                <w:lang w:eastAsia="nb-NO"/>
              </w:rPr>
              <w:t>ØI</w:t>
            </w:r>
          </w:p>
        </w:tc>
        <w:tc>
          <w:tcPr>
            <w:tcW w:w="833" w:type="pct"/>
            <w:tcBorders>
              <w:top w:val="nil"/>
              <w:left w:val="nil"/>
              <w:bottom w:val="single" w:sz="8" w:space="0" w:color="auto"/>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84 653</w:t>
            </w:r>
          </w:p>
        </w:tc>
        <w:tc>
          <w:tcPr>
            <w:tcW w:w="833" w:type="pct"/>
            <w:tcBorders>
              <w:top w:val="nil"/>
              <w:left w:val="nil"/>
              <w:bottom w:val="single" w:sz="8" w:space="0" w:color="auto"/>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84 070</w:t>
            </w:r>
          </w:p>
        </w:tc>
        <w:tc>
          <w:tcPr>
            <w:tcW w:w="833" w:type="pct"/>
            <w:tcBorders>
              <w:top w:val="nil"/>
              <w:left w:val="nil"/>
              <w:bottom w:val="single" w:sz="8" w:space="0" w:color="auto"/>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83 488</w:t>
            </w:r>
          </w:p>
        </w:tc>
        <w:tc>
          <w:tcPr>
            <w:tcW w:w="833" w:type="pct"/>
            <w:tcBorders>
              <w:top w:val="nil"/>
              <w:left w:val="nil"/>
              <w:bottom w:val="single" w:sz="8" w:space="0" w:color="auto"/>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82 905</w:t>
            </w:r>
          </w:p>
        </w:tc>
        <w:tc>
          <w:tcPr>
            <w:tcW w:w="833" w:type="pct"/>
            <w:tcBorders>
              <w:top w:val="nil"/>
              <w:left w:val="nil"/>
              <w:bottom w:val="single" w:sz="8" w:space="0" w:color="auto"/>
              <w:right w:val="nil"/>
            </w:tcBorders>
            <w:shd w:val="clear" w:color="000000" w:fill="CCCCCC"/>
            <w:vAlign w:val="center"/>
            <w:hideMark/>
          </w:tcPr>
          <w:p w:rsidR="00C65362" w:rsidRPr="00C65362" w:rsidRDefault="00C65362" w:rsidP="00C65362">
            <w:pPr>
              <w:jc w:val="right"/>
              <w:rPr>
                <w:rFonts w:eastAsia="Times New Roman" w:cs="Times New Roman"/>
                <w:color w:val="000000"/>
                <w:lang w:eastAsia="nb-NO"/>
              </w:rPr>
            </w:pPr>
            <w:r w:rsidRPr="00C65362">
              <w:rPr>
                <w:rFonts w:eastAsia="Times New Roman" w:cs="Times New Roman"/>
                <w:color w:val="000000"/>
                <w:lang w:eastAsia="nb-NO"/>
              </w:rPr>
              <w:t>82 323</w:t>
            </w:r>
          </w:p>
        </w:tc>
      </w:tr>
    </w:tbl>
    <w:p w:rsidR="009D4426" w:rsidRPr="00EC1134" w:rsidRDefault="009D4426" w:rsidP="009D4426">
      <w:pPr>
        <w:pStyle w:val="BodyText"/>
        <w:rPr>
          <w:sz w:val="18"/>
          <w:lang w:val="nb-NO"/>
        </w:rPr>
      </w:pPr>
      <w:r w:rsidRPr="00EC1134">
        <w:rPr>
          <w:sz w:val="18"/>
          <w:lang w:val="nb-NO"/>
        </w:rPr>
        <w:t xml:space="preserve"> </w:t>
      </w:r>
    </w:p>
    <w:p w:rsidR="00693A55" w:rsidRPr="00A97546" w:rsidRDefault="00E2351E" w:rsidP="00BA2936">
      <w:pPr>
        <w:pStyle w:val="BodyText"/>
        <w:rPr>
          <w:lang w:val="nb-NO" w:eastAsia="en-US"/>
        </w:rPr>
      </w:pPr>
      <w:r w:rsidRPr="00A97546">
        <w:rPr>
          <w:lang w:val="nb-NO" w:eastAsia="en-US"/>
        </w:rPr>
        <w:t xml:space="preserve">Endringer i inntektene vil først og fremst gi seg utslag i antallet stillinger, i og med at de aller fleste kostnadene er knyttet til stillinger. </w:t>
      </w:r>
      <w:r w:rsidR="00693A55" w:rsidRPr="00A97546">
        <w:rPr>
          <w:lang w:val="nb-NO" w:eastAsia="en-US"/>
        </w:rPr>
        <w:t>En fast vitenskapelig stilling koster i gjennomsnitt</w:t>
      </w:r>
      <w:r w:rsidRPr="00A97546">
        <w:rPr>
          <w:lang w:val="nb-NO" w:eastAsia="en-US"/>
        </w:rPr>
        <w:t xml:space="preserve"> </w:t>
      </w:r>
      <w:r w:rsidR="000276F1">
        <w:rPr>
          <w:lang w:val="nb-NO" w:eastAsia="en-US"/>
        </w:rPr>
        <w:t>1,4 mill.</w:t>
      </w:r>
      <w:r w:rsidR="00693A55" w:rsidRPr="00A97546">
        <w:rPr>
          <w:lang w:val="nb-NO" w:eastAsia="en-US"/>
        </w:rPr>
        <w:t xml:space="preserve"> k</w:t>
      </w:r>
      <w:r w:rsidR="000276F1">
        <w:rPr>
          <w:lang w:val="nb-NO" w:eastAsia="en-US"/>
        </w:rPr>
        <w:t>r.</w:t>
      </w:r>
      <w:r w:rsidR="00693A55" w:rsidRPr="00A97546">
        <w:rPr>
          <w:lang w:val="nb-NO" w:eastAsia="en-US"/>
        </w:rPr>
        <w:t xml:space="preserve"> pr. år (</w:t>
      </w:r>
      <w:r w:rsidR="000276F1">
        <w:rPr>
          <w:lang w:val="nb-NO" w:eastAsia="en-US"/>
        </w:rPr>
        <w:t>ltr. 80 inklusiv UiOs estimat for indirekte kostnader</w:t>
      </w:r>
      <w:r w:rsidR="00693A55" w:rsidRPr="00A97546">
        <w:rPr>
          <w:lang w:val="nb-NO" w:eastAsia="en-US"/>
        </w:rPr>
        <w:t>). En endring i inntektene på 4 millioner kroner</w:t>
      </w:r>
      <w:r w:rsidRPr="00A97546">
        <w:rPr>
          <w:lang w:val="nb-NO" w:eastAsia="en-US"/>
        </w:rPr>
        <w:t xml:space="preserve"> tilsvarer således omtrent </w:t>
      </w:r>
      <w:r w:rsidR="009020E5">
        <w:rPr>
          <w:lang w:val="nb-NO" w:eastAsia="en-US"/>
        </w:rPr>
        <w:t>3</w:t>
      </w:r>
      <w:r w:rsidR="00693A55" w:rsidRPr="00A97546">
        <w:rPr>
          <w:lang w:val="nb-NO" w:eastAsia="en-US"/>
        </w:rPr>
        <w:t xml:space="preserve"> faste vitenskapelige stillinger</w:t>
      </w:r>
      <w:r w:rsidR="000276F1">
        <w:rPr>
          <w:lang w:val="nb-NO" w:eastAsia="en-US"/>
        </w:rPr>
        <w:t>.</w:t>
      </w:r>
    </w:p>
    <w:p w:rsidR="00A10C3B" w:rsidRPr="00EC1134" w:rsidRDefault="00693A55" w:rsidP="00BA2936">
      <w:pPr>
        <w:pStyle w:val="BodyText"/>
        <w:rPr>
          <w:lang w:val="nb-NO" w:eastAsia="en-US"/>
        </w:rPr>
      </w:pPr>
      <w:r w:rsidRPr="00A97546">
        <w:rPr>
          <w:lang w:val="nb-NO" w:eastAsia="en-US"/>
        </w:rPr>
        <w:t xml:space="preserve">Konsekvensene vil avhenge av enhetenes økonomiske stilling i utgangspunktet. </w:t>
      </w:r>
      <w:r w:rsidR="00A612A0" w:rsidRPr="00A97546">
        <w:rPr>
          <w:lang w:val="nb-NO" w:eastAsia="en-US"/>
        </w:rPr>
        <w:fldChar w:fldCharType="begin"/>
      </w:r>
      <w:r w:rsidR="00A612A0" w:rsidRPr="00A97546">
        <w:rPr>
          <w:lang w:val="nb-NO" w:eastAsia="en-US"/>
        </w:rPr>
        <w:instrText xml:space="preserve"> REF _Ref511566468 \h </w:instrText>
      </w:r>
      <w:r w:rsidR="00A612A0" w:rsidRPr="00A97546">
        <w:rPr>
          <w:lang w:val="nb-NO" w:eastAsia="en-US"/>
        </w:rPr>
      </w:r>
      <w:r w:rsidR="00A612A0" w:rsidRPr="00A97546">
        <w:rPr>
          <w:lang w:val="nb-NO" w:eastAsia="en-US"/>
        </w:rPr>
        <w:fldChar w:fldCharType="separate"/>
      </w:r>
      <w:r w:rsidR="00B759DD" w:rsidRPr="00EC1134">
        <w:rPr>
          <w:lang w:val="nb-NO"/>
        </w:rPr>
        <w:t xml:space="preserve">Tabell </w:t>
      </w:r>
      <w:r w:rsidR="00B759DD">
        <w:rPr>
          <w:noProof/>
          <w:lang w:val="nb-NO"/>
        </w:rPr>
        <w:t>20</w:t>
      </w:r>
      <w:r w:rsidR="00A612A0" w:rsidRPr="00A97546">
        <w:rPr>
          <w:lang w:val="nb-NO" w:eastAsia="en-US"/>
        </w:rPr>
        <w:fldChar w:fldCharType="end"/>
      </w:r>
      <w:r w:rsidR="00A612A0" w:rsidRPr="00A97546">
        <w:rPr>
          <w:lang w:val="nb-NO" w:eastAsia="en-US"/>
        </w:rPr>
        <w:t xml:space="preserve"> viser</w:t>
      </w:r>
      <w:r w:rsidR="00A10C3B" w:rsidRPr="00A97546">
        <w:rPr>
          <w:lang w:val="nb-NO" w:eastAsia="en-US"/>
        </w:rPr>
        <w:t xml:space="preserve"> akkumulerte overskudd pr. 1. januar 2018.</w:t>
      </w:r>
      <w:r w:rsidR="00A612A0" w:rsidRPr="00A97546">
        <w:rPr>
          <w:lang w:val="nb-NO" w:eastAsia="en-US"/>
        </w:rPr>
        <w:t xml:space="preserve"> Ingen av enhetene har i utgangspunktet underskudd, men størrelsen på overskuddene varierer, fra nær null for ARENA til 46 millioner kroner for Økonomisk institutt.</w:t>
      </w:r>
      <w:r w:rsidR="00A612A0" w:rsidRPr="00EC1134">
        <w:rPr>
          <w:lang w:val="nb-NO" w:eastAsia="en-US"/>
        </w:rPr>
        <w:t xml:space="preserve"> </w:t>
      </w:r>
    </w:p>
    <w:p w:rsidR="00E35E0C" w:rsidRPr="00EC1134" w:rsidRDefault="002B02F9" w:rsidP="00E35E0C">
      <w:pPr>
        <w:pStyle w:val="BodyText"/>
        <w:rPr>
          <w:lang w:val="nb-NO"/>
        </w:rPr>
      </w:pPr>
      <w:r>
        <w:rPr>
          <w:b/>
          <w:lang w:val="nb-NO"/>
        </w:rPr>
        <w:t xml:space="preserve">Foreløpig </w:t>
      </w:r>
      <w:r w:rsidR="002D0F49">
        <w:rPr>
          <w:b/>
          <w:lang w:val="nb-NO"/>
        </w:rPr>
        <w:t>k</w:t>
      </w:r>
      <w:r w:rsidR="002D0F49" w:rsidRPr="00EC1134">
        <w:rPr>
          <w:b/>
          <w:lang w:val="nb-NO"/>
        </w:rPr>
        <w:t xml:space="preserve">onklusjon: </w:t>
      </w:r>
      <w:r w:rsidR="002D0F49" w:rsidRPr="00EC1134">
        <w:rPr>
          <w:lang w:val="nb-NO"/>
        </w:rPr>
        <w:t>Arbeidsgruppen</w:t>
      </w:r>
      <w:r w:rsidR="00E35E0C">
        <w:rPr>
          <w:lang w:val="nb-NO"/>
        </w:rPr>
        <w:t xml:space="preserve"> </w:t>
      </w:r>
      <w:r w:rsidR="005F2972">
        <w:rPr>
          <w:lang w:val="nb-NO"/>
        </w:rPr>
        <w:t xml:space="preserve">velger å </w:t>
      </w:r>
      <w:r w:rsidR="002D0F49">
        <w:rPr>
          <w:lang w:val="nb-NO"/>
        </w:rPr>
        <w:t>ikke komme</w:t>
      </w:r>
      <w:r w:rsidR="00E35E0C">
        <w:rPr>
          <w:lang w:val="nb-NO"/>
        </w:rPr>
        <w:t xml:space="preserve"> </w:t>
      </w:r>
      <w:r w:rsidR="005F2972">
        <w:rPr>
          <w:lang w:val="nb-NO"/>
        </w:rPr>
        <w:t xml:space="preserve">med </w:t>
      </w:r>
      <w:r w:rsidR="00E35E0C">
        <w:rPr>
          <w:lang w:val="nb-NO"/>
        </w:rPr>
        <w:t>en anbefa</w:t>
      </w:r>
      <w:r w:rsidR="005F2972">
        <w:rPr>
          <w:lang w:val="nb-NO"/>
        </w:rPr>
        <w:t>ling angående tilpasningsleddet. Det presenteres istedet ulike alternativer</w:t>
      </w:r>
      <w:r w:rsidR="00E35E0C">
        <w:rPr>
          <w:lang w:val="nb-NO"/>
        </w:rPr>
        <w:t xml:space="preserve"> </w:t>
      </w:r>
      <w:r w:rsidR="005F2972">
        <w:rPr>
          <w:lang w:val="nb-NO"/>
        </w:rPr>
        <w:t>som det ønskes tilbakemeldi</w:t>
      </w:r>
      <w:r w:rsidR="006702DA">
        <w:rPr>
          <w:lang w:val="nb-NO"/>
        </w:rPr>
        <w:t>nger på</w:t>
      </w:r>
      <w:r w:rsidR="009020E5">
        <w:rPr>
          <w:lang w:val="nb-NO"/>
        </w:rPr>
        <w:t>.</w:t>
      </w:r>
    </w:p>
    <w:p w:rsidR="00A10C3B" w:rsidRPr="00EC1134" w:rsidRDefault="00A10C3B" w:rsidP="00A10C3B">
      <w:pPr>
        <w:pStyle w:val="BodyText"/>
        <w:rPr>
          <w:lang w:val="nb-NO" w:eastAsia="en-US"/>
        </w:rPr>
      </w:pPr>
    </w:p>
    <w:p w:rsidR="00A10C3B" w:rsidRPr="00EC1134" w:rsidRDefault="00A10C3B" w:rsidP="00A10C3B">
      <w:pPr>
        <w:pStyle w:val="Caption"/>
        <w:keepNext/>
        <w:rPr>
          <w:lang w:val="nb-NO"/>
        </w:rPr>
      </w:pPr>
      <w:bookmarkStart w:id="18" w:name="_Ref511566468"/>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20</w:t>
      </w:r>
      <w:r w:rsidRPr="00EC1134">
        <w:rPr>
          <w:lang w:val="nb-NO"/>
        </w:rPr>
        <w:fldChar w:fldCharType="end"/>
      </w:r>
      <w:bookmarkEnd w:id="18"/>
      <w:r w:rsidRPr="00EC1134">
        <w:rPr>
          <w:lang w:val="nb-NO"/>
        </w:rPr>
        <w:t xml:space="preserve">: Akkumulert overskudd pr. 1. januar 2018, </w:t>
      </w:r>
      <w:r w:rsidR="00CF5F49" w:rsidRPr="00A97546">
        <w:rPr>
          <w:lang w:val="nb-NO"/>
        </w:rPr>
        <w:t>tusen</w:t>
      </w:r>
      <w:r w:rsidRPr="00A97546">
        <w:rPr>
          <w:lang w:val="nb-NO"/>
        </w:rPr>
        <w:t xml:space="preserve"> kroner</w:t>
      </w:r>
      <w:r w:rsidR="00A22758">
        <w:rPr>
          <w:lang w:val="nb-NO"/>
        </w:rPr>
        <w:t>, inklusiv prosjektmidler</w:t>
      </w:r>
    </w:p>
    <w:tbl>
      <w:tblPr>
        <w:tblW w:w="3160" w:type="pct"/>
        <w:tblLayout w:type="fixed"/>
        <w:tblCellMar>
          <w:left w:w="70" w:type="dxa"/>
          <w:right w:w="70" w:type="dxa"/>
        </w:tblCellMar>
        <w:tblLook w:val="0480" w:firstRow="0" w:lastRow="0" w:firstColumn="1" w:lastColumn="0" w:noHBand="0" w:noVBand="1"/>
      </w:tblPr>
      <w:tblGrid>
        <w:gridCol w:w="2410"/>
        <w:gridCol w:w="2835"/>
      </w:tblGrid>
      <w:tr w:rsidR="00A10C3B" w:rsidRPr="00EC1134" w:rsidTr="00A97546">
        <w:trPr>
          <w:trHeight w:val="337"/>
        </w:trPr>
        <w:tc>
          <w:tcPr>
            <w:tcW w:w="2297" w:type="pct"/>
            <w:tcBorders>
              <w:top w:val="single" w:sz="4" w:space="0" w:color="auto"/>
              <w:left w:val="nil"/>
              <w:bottom w:val="nil"/>
              <w:right w:val="nil"/>
            </w:tcBorders>
            <w:shd w:val="clear" w:color="000000" w:fill="CCCCCC"/>
            <w:vAlign w:val="center"/>
            <w:hideMark/>
          </w:tcPr>
          <w:p w:rsidR="00A10C3B" w:rsidRPr="00EC1134" w:rsidRDefault="00A10C3B" w:rsidP="00400389">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ARENA</w:t>
            </w:r>
          </w:p>
        </w:tc>
        <w:tc>
          <w:tcPr>
            <w:tcW w:w="2703" w:type="pct"/>
            <w:tcBorders>
              <w:top w:val="single" w:sz="4" w:space="0" w:color="auto"/>
              <w:left w:val="nil"/>
              <w:bottom w:val="nil"/>
              <w:right w:val="nil"/>
            </w:tcBorders>
            <w:shd w:val="clear" w:color="000000" w:fill="CCCCCC"/>
            <w:vAlign w:val="center"/>
          </w:tcPr>
          <w:p w:rsidR="00A10C3B" w:rsidRPr="00EC1134" w:rsidRDefault="00E2671D" w:rsidP="00A97546">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279</w:t>
            </w:r>
          </w:p>
        </w:tc>
      </w:tr>
      <w:tr w:rsidR="00A10C3B" w:rsidRPr="00EC1134" w:rsidTr="00A97546">
        <w:trPr>
          <w:trHeight w:val="337"/>
        </w:trPr>
        <w:tc>
          <w:tcPr>
            <w:tcW w:w="2297" w:type="pct"/>
            <w:tcBorders>
              <w:top w:val="nil"/>
              <w:left w:val="nil"/>
              <w:bottom w:val="nil"/>
              <w:right w:val="nil"/>
            </w:tcBorders>
            <w:shd w:val="clear" w:color="auto" w:fill="auto"/>
            <w:vAlign w:val="center"/>
            <w:hideMark/>
          </w:tcPr>
          <w:p w:rsidR="00A10C3B" w:rsidRPr="00EC1134" w:rsidRDefault="00A10C3B" w:rsidP="00400389">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ISS</w:t>
            </w:r>
          </w:p>
        </w:tc>
        <w:tc>
          <w:tcPr>
            <w:tcW w:w="2703" w:type="pct"/>
            <w:tcBorders>
              <w:top w:val="nil"/>
              <w:left w:val="nil"/>
              <w:bottom w:val="nil"/>
              <w:right w:val="nil"/>
            </w:tcBorders>
            <w:shd w:val="clear" w:color="auto" w:fill="auto"/>
            <w:vAlign w:val="center"/>
          </w:tcPr>
          <w:p w:rsidR="00A10C3B" w:rsidRPr="00EC1134" w:rsidRDefault="00E2671D" w:rsidP="00A97546">
            <w:pPr>
              <w:keepNext/>
              <w:keepLines/>
              <w:ind w:right="1134"/>
              <w:jc w:val="right"/>
              <w:rPr>
                <w:rFonts w:eastAsia="Times New Roman" w:cs="Times New Roman"/>
                <w:color w:val="000000"/>
                <w:lang w:eastAsia="nb-NO"/>
              </w:rPr>
            </w:pPr>
            <w:r>
              <w:rPr>
                <w:rFonts w:eastAsia="Times New Roman" w:cs="Times New Roman"/>
                <w:color w:val="000000"/>
                <w:lang w:eastAsia="nb-NO"/>
              </w:rPr>
              <w:t>7 953</w:t>
            </w:r>
          </w:p>
        </w:tc>
      </w:tr>
      <w:tr w:rsidR="00A10C3B" w:rsidRPr="00EC1134" w:rsidTr="00A97546">
        <w:trPr>
          <w:trHeight w:val="337"/>
        </w:trPr>
        <w:tc>
          <w:tcPr>
            <w:tcW w:w="2297" w:type="pct"/>
            <w:tcBorders>
              <w:top w:val="nil"/>
              <w:left w:val="nil"/>
              <w:bottom w:val="nil"/>
              <w:right w:val="nil"/>
            </w:tcBorders>
            <w:shd w:val="clear" w:color="000000" w:fill="CCCCCC"/>
            <w:vAlign w:val="center"/>
            <w:hideMark/>
          </w:tcPr>
          <w:p w:rsidR="00A10C3B" w:rsidRPr="00EC1134" w:rsidRDefault="00A10C3B" w:rsidP="00400389">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ISV</w:t>
            </w:r>
          </w:p>
        </w:tc>
        <w:tc>
          <w:tcPr>
            <w:tcW w:w="2703" w:type="pct"/>
            <w:tcBorders>
              <w:top w:val="nil"/>
              <w:left w:val="nil"/>
              <w:bottom w:val="nil"/>
              <w:right w:val="nil"/>
            </w:tcBorders>
            <w:shd w:val="clear" w:color="000000" w:fill="CCCCCC"/>
            <w:vAlign w:val="center"/>
          </w:tcPr>
          <w:p w:rsidR="00A10C3B" w:rsidRPr="00EC1134" w:rsidRDefault="00E2671D" w:rsidP="00A97546">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14 873</w:t>
            </w:r>
          </w:p>
        </w:tc>
      </w:tr>
      <w:tr w:rsidR="00A10C3B" w:rsidRPr="00EC1134" w:rsidTr="00A97546">
        <w:trPr>
          <w:trHeight w:val="337"/>
        </w:trPr>
        <w:tc>
          <w:tcPr>
            <w:tcW w:w="2297" w:type="pct"/>
            <w:tcBorders>
              <w:top w:val="nil"/>
              <w:left w:val="nil"/>
              <w:bottom w:val="nil"/>
              <w:right w:val="nil"/>
            </w:tcBorders>
            <w:shd w:val="clear" w:color="auto" w:fill="auto"/>
            <w:vAlign w:val="center"/>
            <w:hideMark/>
          </w:tcPr>
          <w:p w:rsidR="00A10C3B" w:rsidRPr="00EC1134" w:rsidRDefault="00A10C3B" w:rsidP="00400389">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PSI</w:t>
            </w:r>
          </w:p>
        </w:tc>
        <w:tc>
          <w:tcPr>
            <w:tcW w:w="2703" w:type="pct"/>
            <w:tcBorders>
              <w:top w:val="nil"/>
              <w:left w:val="nil"/>
              <w:bottom w:val="nil"/>
              <w:right w:val="nil"/>
            </w:tcBorders>
            <w:shd w:val="clear" w:color="auto" w:fill="auto"/>
            <w:vAlign w:val="center"/>
          </w:tcPr>
          <w:p w:rsidR="00A10C3B" w:rsidRPr="00EC1134" w:rsidRDefault="00CF5F49" w:rsidP="00A97546">
            <w:pPr>
              <w:keepNext/>
              <w:keepLines/>
              <w:ind w:right="1134"/>
              <w:jc w:val="right"/>
              <w:rPr>
                <w:rFonts w:eastAsia="Times New Roman" w:cs="Times New Roman"/>
                <w:color w:val="000000"/>
                <w:sz w:val="22"/>
                <w:szCs w:val="22"/>
                <w:lang w:eastAsia="nb-NO"/>
              </w:rPr>
            </w:pPr>
            <w:r w:rsidRPr="00EC1134">
              <w:rPr>
                <w:rFonts w:eastAsia="Times New Roman" w:cs="Times New Roman"/>
                <w:color w:val="000000"/>
                <w:sz w:val="22"/>
                <w:szCs w:val="22"/>
                <w:lang w:eastAsia="nb-NO"/>
              </w:rPr>
              <w:t>42</w:t>
            </w:r>
            <w:r w:rsidR="00E2671D">
              <w:rPr>
                <w:rFonts w:eastAsia="Times New Roman" w:cs="Times New Roman"/>
                <w:color w:val="000000"/>
                <w:sz w:val="22"/>
                <w:szCs w:val="22"/>
                <w:lang w:eastAsia="nb-NO"/>
              </w:rPr>
              <w:t xml:space="preserve"> 296</w:t>
            </w:r>
          </w:p>
        </w:tc>
      </w:tr>
      <w:tr w:rsidR="00A10C3B" w:rsidRPr="00EC1134" w:rsidTr="00A97546">
        <w:trPr>
          <w:trHeight w:val="337"/>
        </w:trPr>
        <w:tc>
          <w:tcPr>
            <w:tcW w:w="2297" w:type="pct"/>
            <w:tcBorders>
              <w:top w:val="nil"/>
              <w:left w:val="nil"/>
              <w:bottom w:val="nil"/>
              <w:right w:val="nil"/>
            </w:tcBorders>
            <w:shd w:val="clear" w:color="000000" w:fill="CCCCCC"/>
            <w:vAlign w:val="center"/>
            <w:hideMark/>
          </w:tcPr>
          <w:p w:rsidR="00A10C3B" w:rsidRPr="00EC1134" w:rsidRDefault="00A10C3B" w:rsidP="00400389">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SAI</w:t>
            </w:r>
          </w:p>
        </w:tc>
        <w:tc>
          <w:tcPr>
            <w:tcW w:w="2703" w:type="pct"/>
            <w:tcBorders>
              <w:top w:val="nil"/>
              <w:left w:val="nil"/>
              <w:bottom w:val="nil"/>
              <w:right w:val="nil"/>
            </w:tcBorders>
            <w:shd w:val="clear" w:color="000000" w:fill="CCCCCC"/>
            <w:vAlign w:val="center"/>
          </w:tcPr>
          <w:p w:rsidR="00A10C3B" w:rsidRPr="00EC1134" w:rsidRDefault="00CF5F49" w:rsidP="00A97546">
            <w:pPr>
              <w:keepNext/>
              <w:keepLines/>
              <w:ind w:right="1134"/>
              <w:jc w:val="right"/>
              <w:rPr>
                <w:rFonts w:eastAsia="Times New Roman" w:cs="Times New Roman"/>
                <w:color w:val="000000"/>
                <w:sz w:val="22"/>
                <w:szCs w:val="22"/>
                <w:lang w:eastAsia="nb-NO"/>
              </w:rPr>
            </w:pPr>
            <w:r w:rsidRPr="00EC1134">
              <w:rPr>
                <w:rFonts w:eastAsia="Times New Roman" w:cs="Times New Roman"/>
                <w:color w:val="000000"/>
                <w:sz w:val="22"/>
                <w:szCs w:val="22"/>
                <w:lang w:eastAsia="nb-NO"/>
              </w:rPr>
              <w:t>6</w:t>
            </w:r>
            <w:r w:rsidR="00E2671D">
              <w:rPr>
                <w:rFonts w:eastAsia="Times New Roman" w:cs="Times New Roman"/>
                <w:color w:val="000000"/>
                <w:sz w:val="22"/>
                <w:szCs w:val="22"/>
                <w:lang w:eastAsia="nb-NO"/>
              </w:rPr>
              <w:t xml:space="preserve"> 344</w:t>
            </w:r>
          </w:p>
        </w:tc>
      </w:tr>
      <w:tr w:rsidR="00A10C3B" w:rsidRPr="00EC1134" w:rsidTr="00A97546">
        <w:trPr>
          <w:trHeight w:val="337"/>
        </w:trPr>
        <w:tc>
          <w:tcPr>
            <w:tcW w:w="2297" w:type="pct"/>
            <w:tcBorders>
              <w:top w:val="nil"/>
              <w:left w:val="nil"/>
              <w:right w:val="nil"/>
            </w:tcBorders>
            <w:shd w:val="clear" w:color="auto" w:fill="auto"/>
            <w:vAlign w:val="center"/>
            <w:hideMark/>
          </w:tcPr>
          <w:p w:rsidR="00A10C3B" w:rsidRPr="00EC1134" w:rsidRDefault="00A10C3B" w:rsidP="00400389">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TIK</w:t>
            </w:r>
          </w:p>
        </w:tc>
        <w:tc>
          <w:tcPr>
            <w:tcW w:w="2703" w:type="pct"/>
            <w:tcBorders>
              <w:top w:val="nil"/>
              <w:left w:val="nil"/>
              <w:right w:val="nil"/>
            </w:tcBorders>
            <w:shd w:val="clear" w:color="auto" w:fill="auto"/>
            <w:vAlign w:val="center"/>
          </w:tcPr>
          <w:p w:rsidR="00A10C3B" w:rsidRPr="00EC1134" w:rsidRDefault="00E2671D" w:rsidP="00A97546">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18 962</w:t>
            </w:r>
          </w:p>
        </w:tc>
      </w:tr>
      <w:tr w:rsidR="00A10C3B" w:rsidRPr="00EC1134" w:rsidTr="00A97546">
        <w:trPr>
          <w:trHeight w:val="337"/>
        </w:trPr>
        <w:tc>
          <w:tcPr>
            <w:tcW w:w="2297" w:type="pct"/>
            <w:tcBorders>
              <w:top w:val="nil"/>
              <w:left w:val="nil"/>
              <w:bottom w:val="single" w:sz="4" w:space="0" w:color="auto"/>
              <w:right w:val="nil"/>
            </w:tcBorders>
            <w:shd w:val="clear" w:color="000000" w:fill="CCCCCC"/>
            <w:vAlign w:val="center"/>
            <w:hideMark/>
          </w:tcPr>
          <w:p w:rsidR="00A10C3B" w:rsidRPr="00EC1134" w:rsidRDefault="00A10C3B" w:rsidP="00400389">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ØI</w:t>
            </w:r>
          </w:p>
        </w:tc>
        <w:tc>
          <w:tcPr>
            <w:tcW w:w="2703" w:type="pct"/>
            <w:tcBorders>
              <w:top w:val="nil"/>
              <w:left w:val="nil"/>
              <w:bottom w:val="single" w:sz="4" w:space="0" w:color="auto"/>
              <w:right w:val="nil"/>
            </w:tcBorders>
            <w:shd w:val="clear" w:color="000000" w:fill="CCCCCC"/>
            <w:vAlign w:val="center"/>
          </w:tcPr>
          <w:p w:rsidR="00A10C3B" w:rsidRPr="00EC1134" w:rsidRDefault="00CF5F49" w:rsidP="00A97546">
            <w:pPr>
              <w:keepNext/>
              <w:keepLines/>
              <w:ind w:right="1134"/>
              <w:jc w:val="right"/>
              <w:rPr>
                <w:rFonts w:eastAsia="Times New Roman" w:cs="Times New Roman"/>
                <w:color w:val="000000"/>
                <w:sz w:val="22"/>
                <w:szCs w:val="22"/>
                <w:lang w:eastAsia="nb-NO"/>
              </w:rPr>
            </w:pPr>
            <w:r w:rsidRPr="00EC1134">
              <w:rPr>
                <w:rFonts w:eastAsia="Times New Roman" w:cs="Times New Roman"/>
                <w:color w:val="000000"/>
                <w:sz w:val="22"/>
                <w:szCs w:val="22"/>
                <w:lang w:eastAsia="nb-NO"/>
              </w:rPr>
              <w:t>46</w:t>
            </w:r>
            <w:r w:rsidR="00E2671D">
              <w:rPr>
                <w:rFonts w:eastAsia="Times New Roman" w:cs="Times New Roman"/>
                <w:color w:val="000000"/>
                <w:sz w:val="22"/>
                <w:szCs w:val="22"/>
                <w:lang w:eastAsia="nb-NO"/>
              </w:rPr>
              <w:t xml:space="preserve"> 213</w:t>
            </w:r>
          </w:p>
        </w:tc>
      </w:tr>
    </w:tbl>
    <w:p w:rsidR="00A10C3B" w:rsidRPr="00EC1134" w:rsidRDefault="00A10C3B" w:rsidP="00BA2936">
      <w:pPr>
        <w:pStyle w:val="BodyText"/>
        <w:rPr>
          <w:sz w:val="18"/>
          <w:lang w:val="nb-NO"/>
        </w:rPr>
      </w:pPr>
      <w:r w:rsidRPr="00EC1134">
        <w:rPr>
          <w:sz w:val="18"/>
          <w:lang w:val="nb-NO"/>
        </w:rPr>
        <w:t xml:space="preserve"> </w:t>
      </w:r>
    </w:p>
    <w:p w:rsidR="00A632C7" w:rsidRPr="00EC1134" w:rsidRDefault="003139EC" w:rsidP="00A632C7">
      <w:pPr>
        <w:pStyle w:val="Heading1"/>
      </w:pPr>
      <w:r w:rsidRPr="00EC1134">
        <w:t>Vedlegg</w:t>
      </w:r>
    </w:p>
    <w:p w:rsidR="00A22758" w:rsidRPr="00EC1134" w:rsidRDefault="00A22758" w:rsidP="00A22758">
      <w:pPr>
        <w:pStyle w:val="Caption"/>
        <w:keepNext/>
        <w:rPr>
          <w:lang w:val="nb-NO"/>
        </w:rPr>
      </w:pPr>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21</w:t>
      </w:r>
      <w:r w:rsidRPr="00EC1134">
        <w:rPr>
          <w:lang w:val="nb-NO"/>
        </w:rPr>
        <w:fldChar w:fldCharType="end"/>
      </w:r>
      <w:r w:rsidRPr="00EC1134">
        <w:rPr>
          <w:lang w:val="nb-NO"/>
        </w:rPr>
        <w:t xml:space="preserve">: Akkumulert overskudd pr. 1. januar 2018, </w:t>
      </w:r>
      <w:r w:rsidRPr="00A97546">
        <w:rPr>
          <w:lang w:val="nb-NO"/>
        </w:rPr>
        <w:t>tusen kroner</w:t>
      </w:r>
      <w:r>
        <w:rPr>
          <w:lang w:val="nb-NO"/>
        </w:rPr>
        <w:t>, kun basismidler</w:t>
      </w:r>
    </w:p>
    <w:tbl>
      <w:tblPr>
        <w:tblW w:w="3160" w:type="pct"/>
        <w:tblLayout w:type="fixed"/>
        <w:tblCellMar>
          <w:left w:w="70" w:type="dxa"/>
          <w:right w:w="70" w:type="dxa"/>
        </w:tblCellMar>
        <w:tblLook w:val="0480" w:firstRow="0" w:lastRow="0" w:firstColumn="1" w:lastColumn="0" w:noHBand="0" w:noVBand="1"/>
      </w:tblPr>
      <w:tblGrid>
        <w:gridCol w:w="2410"/>
        <w:gridCol w:w="2835"/>
      </w:tblGrid>
      <w:tr w:rsidR="00A22758" w:rsidRPr="00EC1134" w:rsidTr="00525902">
        <w:trPr>
          <w:trHeight w:val="337"/>
        </w:trPr>
        <w:tc>
          <w:tcPr>
            <w:tcW w:w="2297" w:type="pct"/>
            <w:tcBorders>
              <w:top w:val="single" w:sz="4" w:space="0" w:color="auto"/>
              <w:left w:val="nil"/>
              <w:bottom w:val="nil"/>
              <w:right w:val="nil"/>
            </w:tcBorders>
            <w:shd w:val="clear" w:color="000000" w:fill="CCCCCC"/>
            <w:vAlign w:val="center"/>
            <w:hideMark/>
          </w:tcPr>
          <w:p w:rsidR="00A22758" w:rsidRPr="00EC1134" w:rsidRDefault="00A22758" w:rsidP="00525902">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ARENA</w:t>
            </w:r>
          </w:p>
        </w:tc>
        <w:tc>
          <w:tcPr>
            <w:tcW w:w="2703" w:type="pct"/>
            <w:tcBorders>
              <w:top w:val="single" w:sz="4" w:space="0" w:color="auto"/>
              <w:left w:val="nil"/>
              <w:bottom w:val="nil"/>
              <w:right w:val="nil"/>
            </w:tcBorders>
            <w:shd w:val="clear" w:color="000000" w:fill="CCCCCC"/>
            <w:vAlign w:val="center"/>
          </w:tcPr>
          <w:p w:rsidR="00A22758" w:rsidRPr="00EC1134" w:rsidRDefault="00A22758" w:rsidP="00525902">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-5 890</w:t>
            </w:r>
          </w:p>
        </w:tc>
      </w:tr>
      <w:tr w:rsidR="00A22758" w:rsidRPr="00EC1134" w:rsidTr="00525902">
        <w:trPr>
          <w:trHeight w:val="337"/>
        </w:trPr>
        <w:tc>
          <w:tcPr>
            <w:tcW w:w="2297" w:type="pct"/>
            <w:tcBorders>
              <w:top w:val="nil"/>
              <w:left w:val="nil"/>
              <w:bottom w:val="nil"/>
              <w:right w:val="nil"/>
            </w:tcBorders>
            <w:shd w:val="clear" w:color="auto" w:fill="auto"/>
            <w:vAlign w:val="center"/>
            <w:hideMark/>
          </w:tcPr>
          <w:p w:rsidR="00A22758" w:rsidRPr="00EC1134" w:rsidRDefault="00A22758" w:rsidP="00525902">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ISS</w:t>
            </w:r>
          </w:p>
        </w:tc>
        <w:tc>
          <w:tcPr>
            <w:tcW w:w="2703" w:type="pct"/>
            <w:tcBorders>
              <w:top w:val="nil"/>
              <w:left w:val="nil"/>
              <w:bottom w:val="nil"/>
              <w:right w:val="nil"/>
            </w:tcBorders>
            <w:shd w:val="clear" w:color="auto" w:fill="auto"/>
            <w:vAlign w:val="center"/>
          </w:tcPr>
          <w:p w:rsidR="00A22758" w:rsidRPr="00EC1134" w:rsidRDefault="00A22758" w:rsidP="00525902">
            <w:pPr>
              <w:keepNext/>
              <w:keepLines/>
              <w:ind w:right="1134"/>
              <w:jc w:val="right"/>
              <w:rPr>
                <w:rFonts w:eastAsia="Times New Roman" w:cs="Times New Roman"/>
                <w:color w:val="000000"/>
                <w:lang w:eastAsia="nb-NO"/>
              </w:rPr>
            </w:pPr>
            <w:r>
              <w:rPr>
                <w:rFonts w:eastAsia="Times New Roman" w:cs="Times New Roman"/>
                <w:color w:val="000000"/>
                <w:lang w:eastAsia="nb-NO"/>
              </w:rPr>
              <w:t>7 281</w:t>
            </w:r>
          </w:p>
        </w:tc>
      </w:tr>
      <w:tr w:rsidR="00A22758" w:rsidRPr="00EC1134" w:rsidTr="00525902">
        <w:trPr>
          <w:trHeight w:val="337"/>
        </w:trPr>
        <w:tc>
          <w:tcPr>
            <w:tcW w:w="2297" w:type="pct"/>
            <w:tcBorders>
              <w:top w:val="nil"/>
              <w:left w:val="nil"/>
              <w:bottom w:val="nil"/>
              <w:right w:val="nil"/>
            </w:tcBorders>
            <w:shd w:val="clear" w:color="000000" w:fill="CCCCCC"/>
            <w:vAlign w:val="center"/>
            <w:hideMark/>
          </w:tcPr>
          <w:p w:rsidR="00A22758" w:rsidRPr="00EC1134" w:rsidRDefault="00A22758" w:rsidP="00525902">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ISV</w:t>
            </w:r>
          </w:p>
        </w:tc>
        <w:tc>
          <w:tcPr>
            <w:tcW w:w="2703" w:type="pct"/>
            <w:tcBorders>
              <w:top w:val="nil"/>
              <w:left w:val="nil"/>
              <w:bottom w:val="nil"/>
              <w:right w:val="nil"/>
            </w:tcBorders>
            <w:shd w:val="clear" w:color="000000" w:fill="CCCCCC"/>
            <w:vAlign w:val="center"/>
          </w:tcPr>
          <w:p w:rsidR="00A22758" w:rsidRPr="00EC1134" w:rsidRDefault="00A22758" w:rsidP="00525902">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8 151</w:t>
            </w:r>
          </w:p>
        </w:tc>
      </w:tr>
      <w:tr w:rsidR="00A22758" w:rsidRPr="00EC1134" w:rsidTr="00525902">
        <w:trPr>
          <w:trHeight w:val="337"/>
        </w:trPr>
        <w:tc>
          <w:tcPr>
            <w:tcW w:w="2297" w:type="pct"/>
            <w:tcBorders>
              <w:top w:val="nil"/>
              <w:left w:val="nil"/>
              <w:bottom w:val="nil"/>
              <w:right w:val="nil"/>
            </w:tcBorders>
            <w:shd w:val="clear" w:color="auto" w:fill="auto"/>
            <w:vAlign w:val="center"/>
            <w:hideMark/>
          </w:tcPr>
          <w:p w:rsidR="00A22758" w:rsidRPr="00EC1134" w:rsidRDefault="00A22758" w:rsidP="00525902">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PSI</w:t>
            </w:r>
          </w:p>
        </w:tc>
        <w:tc>
          <w:tcPr>
            <w:tcW w:w="2703" w:type="pct"/>
            <w:tcBorders>
              <w:top w:val="nil"/>
              <w:left w:val="nil"/>
              <w:bottom w:val="nil"/>
              <w:right w:val="nil"/>
            </w:tcBorders>
            <w:shd w:val="clear" w:color="auto" w:fill="auto"/>
            <w:vAlign w:val="center"/>
          </w:tcPr>
          <w:p w:rsidR="00A22758" w:rsidRPr="00EC1134" w:rsidRDefault="00A22758" w:rsidP="00525902">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21 718</w:t>
            </w:r>
          </w:p>
        </w:tc>
      </w:tr>
      <w:tr w:rsidR="00A22758" w:rsidRPr="00EC1134" w:rsidTr="00525902">
        <w:trPr>
          <w:trHeight w:val="337"/>
        </w:trPr>
        <w:tc>
          <w:tcPr>
            <w:tcW w:w="2297" w:type="pct"/>
            <w:tcBorders>
              <w:top w:val="nil"/>
              <w:left w:val="nil"/>
              <w:bottom w:val="nil"/>
              <w:right w:val="nil"/>
            </w:tcBorders>
            <w:shd w:val="clear" w:color="000000" w:fill="CCCCCC"/>
            <w:vAlign w:val="center"/>
            <w:hideMark/>
          </w:tcPr>
          <w:p w:rsidR="00A22758" w:rsidRPr="00EC1134" w:rsidRDefault="00A22758" w:rsidP="00525902">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SAI</w:t>
            </w:r>
          </w:p>
        </w:tc>
        <w:tc>
          <w:tcPr>
            <w:tcW w:w="2703" w:type="pct"/>
            <w:tcBorders>
              <w:top w:val="nil"/>
              <w:left w:val="nil"/>
              <w:bottom w:val="nil"/>
              <w:right w:val="nil"/>
            </w:tcBorders>
            <w:shd w:val="clear" w:color="000000" w:fill="CCCCCC"/>
            <w:vAlign w:val="center"/>
          </w:tcPr>
          <w:p w:rsidR="00A22758" w:rsidRPr="00EC1134" w:rsidRDefault="00A22758" w:rsidP="00525902">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3 766</w:t>
            </w:r>
          </w:p>
        </w:tc>
      </w:tr>
      <w:tr w:rsidR="00A22758" w:rsidRPr="00EC1134" w:rsidTr="00525902">
        <w:trPr>
          <w:trHeight w:val="337"/>
        </w:trPr>
        <w:tc>
          <w:tcPr>
            <w:tcW w:w="2297" w:type="pct"/>
            <w:tcBorders>
              <w:top w:val="nil"/>
              <w:left w:val="nil"/>
              <w:right w:val="nil"/>
            </w:tcBorders>
            <w:shd w:val="clear" w:color="auto" w:fill="auto"/>
            <w:vAlign w:val="center"/>
            <w:hideMark/>
          </w:tcPr>
          <w:p w:rsidR="00A22758" w:rsidRPr="00EC1134" w:rsidRDefault="00A22758" w:rsidP="00525902">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TIK</w:t>
            </w:r>
          </w:p>
        </w:tc>
        <w:tc>
          <w:tcPr>
            <w:tcW w:w="2703" w:type="pct"/>
            <w:tcBorders>
              <w:top w:val="nil"/>
              <w:left w:val="nil"/>
              <w:right w:val="nil"/>
            </w:tcBorders>
            <w:shd w:val="clear" w:color="auto" w:fill="auto"/>
            <w:vAlign w:val="center"/>
          </w:tcPr>
          <w:p w:rsidR="00A22758" w:rsidRPr="00EC1134" w:rsidRDefault="00A22758" w:rsidP="00525902">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9 389</w:t>
            </w:r>
          </w:p>
        </w:tc>
      </w:tr>
      <w:tr w:rsidR="00A22758" w:rsidRPr="00EC1134" w:rsidTr="00525902">
        <w:trPr>
          <w:trHeight w:val="337"/>
        </w:trPr>
        <w:tc>
          <w:tcPr>
            <w:tcW w:w="2297" w:type="pct"/>
            <w:tcBorders>
              <w:top w:val="nil"/>
              <w:left w:val="nil"/>
              <w:bottom w:val="single" w:sz="4" w:space="0" w:color="auto"/>
              <w:right w:val="nil"/>
            </w:tcBorders>
            <w:shd w:val="clear" w:color="000000" w:fill="CCCCCC"/>
            <w:vAlign w:val="center"/>
            <w:hideMark/>
          </w:tcPr>
          <w:p w:rsidR="00A22758" w:rsidRPr="00EC1134" w:rsidRDefault="00A22758" w:rsidP="00525902">
            <w:pPr>
              <w:keepNext/>
              <w:keepLines/>
              <w:rPr>
                <w:rFonts w:ascii="Cambria" w:eastAsia="Times New Roman" w:hAnsi="Cambria" w:cs="Times New Roman"/>
                <w:b/>
                <w:bCs/>
                <w:color w:val="000000"/>
                <w:sz w:val="22"/>
                <w:szCs w:val="22"/>
                <w:lang w:eastAsia="nb-NO"/>
              </w:rPr>
            </w:pPr>
            <w:r w:rsidRPr="00EC1134">
              <w:rPr>
                <w:rFonts w:ascii="Cambria" w:eastAsia="Times New Roman" w:hAnsi="Cambria" w:cs="Times New Roman"/>
                <w:b/>
                <w:bCs/>
                <w:color w:val="000000"/>
                <w:sz w:val="22"/>
                <w:szCs w:val="22"/>
                <w:lang w:eastAsia="nb-NO"/>
              </w:rPr>
              <w:t>ØI</w:t>
            </w:r>
          </w:p>
        </w:tc>
        <w:tc>
          <w:tcPr>
            <w:tcW w:w="2703" w:type="pct"/>
            <w:tcBorders>
              <w:top w:val="nil"/>
              <w:left w:val="nil"/>
              <w:bottom w:val="single" w:sz="4" w:space="0" w:color="auto"/>
              <w:right w:val="nil"/>
            </w:tcBorders>
            <w:shd w:val="clear" w:color="000000" w:fill="CCCCCC"/>
            <w:vAlign w:val="center"/>
          </w:tcPr>
          <w:p w:rsidR="00A22758" w:rsidRPr="00EC1134" w:rsidRDefault="00A22758" w:rsidP="00525902">
            <w:pPr>
              <w:keepNext/>
              <w:keepLines/>
              <w:ind w:right="1134"/>
              <w:jc w:val="right"/>
              <w:rPr>
                <w:rFonts w:eastAsia="Times New Roman" w:cs="Times New Roman"/>
                <w:color w:val="000000"/>
                <w:sz w:val="22"/>
                <w:szCs w:val="22"/>
                <w:lang w:eastAsia="nb-NO"/>
              </w:rPr>
            </w:pPr>
            <w:r>
              <w:rPr>
                <w:rFonts w:eastAsia="Times New Roman" w:cs="Times New Roman"/>
                <w:color w:val="000000"/>
                <w:sz w:val="22"/>
                <w:szCs w:val="22"/>
                <w:lang w:eastAsia="nb-NO"/>
              </w:rPr>
              <w:t>39 814</w:t>
            </w:r>
          </w:p>
        </w:tc>
      </w:tr>
    </w:tbl>
    <w:p w:rsidR="00A22758" w:rsidRPr="00EC1134" w:rsidRDefault="00A22758" w:rsidP="00A22758">
      <w:pPr>
        <w:pStyle w:val="BodyText"/>
        <w:rPr>
          <w:sz w:val="18"/>
          <w:lang w:val="nb-NO"/>
        </w:rPr>
      </w:pPr>
      <w:r w:rsidRPr="00EC1134">
        <w:rPr>
          <w:sz w:val="18"/>
          <w:lang w:val="nb-NO"/>
        </w:rPr>
        <w:t xml:space="preserve"> </w:t>
      </w:r>
    </w:p>
    <w:p w:rsidR="00B13BB5" w:rsidRPr="00EC1134" w:rsidRDefault="00B13BB5" w:rsidP="00B13BB5">
      <w:pPr>
        <w:pStyle w:val="BodyText"/>
        <w:rPr>
          <w:highlight w:val="yellow"/>
          <w:lang w:val="nb-NO"/>
        </w:rPr>
      </w:pPr>
    </w:p>
    <w:p w:rsidR="00B13BB5" w:rsidRPr="00EC1134" w:rsidRDefault="00B13BB5" w:rsidP="00693A55">
      <w:pPr>
        <w:pStyle w:val="Caption"/>
        <w:keepNext/>
        <w:keepLines/>
        <w:spacing w:line="240" w:lineRule="auto"/>
        <w:rPr>
          <w:lang w:val="nb-NO"/>
        </w:rPr>
      </w:pPr>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22</w:t>
      </w:r>
      <w:r w:rsidRPr="00EC1134">
        <w:rPr>
          <w:lang w:val="nb-NO"/>
        </w:rPr>
        <w:fldChar w:fldCharType="end"/>
      </w:r>
      <w:r w:rsidR="00693A55" w:rsidRPr="00EC1134">
        <w:rPr>
          <w:lang w:val="nb-NO"/>
        </w:rPr>
        <w:t>: Produserte studiepoeng etter program og opptaksenhet, 2013-2017</w:t>
      </w:r>
    </w:p>
    <w:tbl>
      <w:tblPr>
        <w:tblStyle w:val="ListTable7Colorful"/>
        <w:tblW w:w="5002" w:type="pct"/>
        <w:tblLayout w:type="fixed"/>
        <w:tblLook w:val="0420" w:firstRow="1" w:lastRow="0" w:firstColumn="0" w:lastColumn="0" w:noHBand="0" w:noVBand="1"/>
      </w:tblPr>
      <w:tblGrid>
        <w:gridCol w:w="3826"/>
        <w:gridCol w:w="746"/>
        <w:gridCol w:w="746"/>
        <w:gridCol w:w="746"/>
        <w:gridCol w:w="746"/>
        <w:gridCol w:w="746"/>
        <w:gridCol w:w="746"/>
      </w:tblGrid>
      <w:tr w:rsidR="00B13BB5" w:rsidRPr="00A97546" w:rsidTr="00693A55">
        <w:trPr>
          <w:cnfStyle w:val="100000000000" w:firstRow="1" w:lastRow="0" w:firstColumn="0" w:lastColumn="0" w:oddVBand="0" w:evenVBand="0" w:oddHBand="0" w:evenHBand="0" w:firstRowFirstColumn="0" w:firstRowLastColumn="0" w:lastRowFirstColumn="0" w:lastRowLastColumn="0"/>
          <w:trHeight w:val="315"/>
        </w:trPr>
        <w:tc>
          <w:tcPr>
            <w:tcW w:w="2304" w:type="pct"/>
            <w:hideMark/>
          </w:tcPr>
          <w:p w:rsidR="00B13BB5" w:rsidRPr="00A97546" w:rsidRDefault="00B13BB5" w:rsidP="00693A55">
            <w:pPr>
              <w:keepNext/>
              <w:keepLines/>
              <w:rPr>
                <w:rFonts w:eastAsia="Times New Roman" w:cs="Times New Roman"/>
                <w:bCs/>
                <w:color w:val="000000"/>
                <w:sz w:val="16"/>
                <w:szCs w:val="16"/>
                <w:lang w:eastAsia="nb-NO"/>
              </w:rPr>
            </w:pPr>
          </w:p>
        </w:tc>
        <w:tc>
          <w:tcPr>
            <w:tcW w:w="449" w:type="pct"/>
            <w:tcBorders>
              <w:left w:val="nil"/>
            </w:tcBorders>
            <w:hideMark/>
          </w:tcPr>
          <w:p w:rsidR="00B13BB5" w:rsidRPr="00A97546" w:rsidRDefault="00B13BB5" w:rsidP="00693A55">
            <w:pPr>
              <w:keepNext/>
              <w:keepLines/>
              <w:jc w:val="center"/>
              <w:rPr>
                <w:rFonts w:eastAsia="Times New Roman" w:cs="Times New Roman"/>
                <w:bCs/>
                <w:color w:val="000000"/>
                <w:sz w:val="16"/>
                <w:szCs w:val="16"/>
                <w:lang w:eastAsia="nb-NO"/>
              </w:rPr>
            </w:pPr>
            <w:r w:rsidRPr="00A97546">
              <w:rPr>
                <w:rFonts w:eastAsia="Times New Roman" w:cs="Times New Roman"/>
                <w:bCs/>
                <w:color w:val="000000"/>
                <w:sz w:val="16"/>
                <w:szCs w:val="16"/>
                <w:lang w:eastAsia="nb-NO"/>
              </w:rPr>
              <w:t>IS</w:t>
            </w:r>
            <w:r w:rsidR="00D670F4" w:rsidRPr="00A97546">
              <w:rPr>
                <w:rFonts w:eastAsia="Times New Roman" w:cs="Times New Roman"/>
                <w:bCs/>
                <w:color w:val="000000"/>
                <w:sz w:val="16"/>
                <w:szCs w:val="16"/>
                <w:lang w:eastAsia="nb-NO"/>
              </w:rPr>
              <w:t>S</w:t>
            </w:r>
          </w:p>
        </w:tc>
        <w:tc>
          <w:tcPr>
            <w:tcW w:w="449" w:type="pct"/>
            <w:hideMark/>
          </w:tcPr>
          <w:p w:rsidR="00B13BB5" w:rsidRPr="00A97546" w:rsidRDefault="00B13BB5" w:rsidP="00693A55">
            <w:pPr>
              <w:keepNext/>
              <w:keepLines/>
              <w:jc w:val="center"/>
              <w:rPr>
                <w:rFonts w:eastAsia="Times New Roman" w:cs="Times New Roman"/>
                <w:bCs/>
                <w:color w:val="000000"/>
                <w:sz w:val="16"/>
                <w:szCs w:val="16"/>
                <w:lang w:eastAsia="nb-NO"/>
              </w:rPr>
            </w:pPr>
            <w:r w:rsidRPr="00A97546">
              <w:rPr>
                <w:rFonts w:eastAsia="Times New Roman" w:cs="Times New Roman"/>
                <w:bCs/>
                <w:color w:val="000000"/>
                <w:sz w:val="16"/>
                <w:szCs w:val="16"/>
                <w:lang w:eastAsia="nb-NO"/>
              </w:rPr>
              <w:t>IS</w:t>
            </w:r>
            <w:r w:rsidR="00D670F4" w:rsidRPr="00A97546">
              <w:rPr>
                <w:rFonts w:eastAsia="Times New Roman" w:cs="Times New Roman"/>
                <w:bCs/>
                <w:color w:val="000000"/>
                <w:sz w:val="16"/>
                <w:szCs w:val="16"/>
                <w:lang w:eastAsia="nb-NO"/>
              </w:rPr>
              <w:t>V</w:t>
            </w:r>
          </w:p>
        </w:tc>
        <w:tc>
          <w:tcPr>
            <w:tcW w:w="449" w:type="pct"/>
            <w:hideMark/>
          </w:tcPr>
          <w:p w:rsidR="00B13BB5" w:rsidRPr="00A97546" w:rsidRDefault="00B13BB5" w:rsidP="00693A55">
            <w:pPr>
              <w:keepNext/>
              <w:keepLines/>
              <w:jc w:val="center"/>
              <w:rPr>
                <w:rFonts w:eastAsia="Times New Roman" w:cs="Times New Roman"/>
                <w:bCs/>
                <w:color w:val="000000"/>
                <w:sz w:val="16"/>
                <w:szCs w:val="16"/>
                <w:lang w:eastAsia="nb-NO"/>
              </w:rPr>
            </w:pPr>
            <w:r w:rsidRPr="00A97546">
              <w:rPr>
                <w:rFonts w:eastAsia="Times New Roman" w:cs="Times New Roman"/>
                <w:bCs/>
                <w:color w:val="000000"/>
                <w:sz w:val="16"/>
                <w:szCs w:val="16"/>
                <w:lang w:eastAsia="nb-NO"/>
              </w:rPr>
              <w:t>PSI</w:t>
            </w:r>
          </w:p>
        </w:tc>
        <w:tc>
          <w:tcPr>
            <w:tcW w:w="449" w:type="pct"/>
            <w:hideMark/>
          </w:tcPr>
          <w:p w:rsidR="00B13BB5" w:rsidRPr="00A97546" w:rsidRDefault="00B13BB5" w:rsidP="00693A55">
            <w:pPr>
              <w:keepNext/>
              <w:keepLines/>
              <w:jc w:val="center"/>
              <w:rPr>
                <w:rFonts w:eastAsia="Times New Roman" w:cs="Times New Roman"/>
                <w:bCs/>
                <w:color w:val="000000"/>
                <w:sz w:val="16"/>
                <w:szCs w:val="16"/>
                <w:lang w:eastAsia="nb-NO"/>
              </w:rPr>
            </w:pPr>
            <w:r w:rsidRPr="00A97546">
              <w:rPr>
                <w:rFonts w:eastAsia="Times New Roman" w:cs="Times New Roman"/>
                <w:bCs/>
                <w:color w:val="000000"/>
                <w:sz w:val="16"/>
                <w:szCs w:val="16"/>
                <w:lang w:eastAsia="nb-NO"/>
              </w:rPr>
              <w:t>SAI</w:t>
            </w:r>
          </w:p>
        </w:tc>
        <w:tc>
          <w:tcPr>
            <w:tcW w:w="449" w:type="pct"/>
            <w:hideMark/>
          </w:tcPr>
          <w:p w:rsidR="00B13BB5" w:rsidRPr="00A97546" w:rsidRDefault="00B13BB5" w:rsidP="00693A55">
            <w:pPr>
              <w:keepNext/>
              <w:keepLines/>
              <w:jc w:val="center"/>
              <w:rPr>
                <w:rFonts w:eastAsia="Times New Roman" w:cs="Times New Roman"/>
                <w:bCs/>
                <w:color w:val="000000"/>
                <w:sz w:val="16"/>
                <w:szCs w:val="16"/>
                <w:lang w:eastAsia="nb-NO"/>
              </w:rPr>
            </w:pPr>
            <w:r w:rsidRPr="00A97546">
              <w:rPr>
                <w:rFonts w:eastAsia="Times New Roman" w:cs="Times New Roman"/>
                <w:bCs/>
                <w:color w:val="000000"/>
                <w:sz w:val="16"/>
                <w:szCs w:val="16"/>
                <w:lang w:eastAsia="nb-NO"/>
              </w:rPr>
              <w:t>TIK</w:t>
            </w:r>
          </w:p>
        </w:tc>
        <w:tc>
          <w:tcPr>
            <w:tcW w:w="449" w:type="pct"/>
            <w:hideMark/>
          </w:tcPr>
          <w:p w:rsidR="00B13BB5" w:rsidRPr="00A97546" w:rsidRDefault="00B13BB5" w:rsidP="00693A55">
            <w:pPr>
              <w:keepNext/>
              <w:keepLines/>
              <w:jc w:val="center"/>
              <w:rPr>
                <w:rFonts w:eastAsia="Times New Roman" w:cs="Times New Roman"/>
                <w:bCs/>
                <w:color w:val="000000"/>
                <w:sz w:val="16"/>
                <w:szCs w:val="16"/>
                <w:lang w:eastAsia="nb-NO"/>
              </w:rPr>
            </w:pPr>
            <w:r w:rsidRPr="00A97546">
              <w:rPr>
                <w:rFonts w:eastAsia="Times New Roman" w:cs="Times New Roman"/>
                <w:bCs/>
                <w:color w:val="000000"/>
                <w:sz w:val="16"/>
                <w:szCs w:val="16"/>
                <w:lang w:eastAsia="nb-NO"/>
              </w:rPr>
              <w:t>ØI</w:t>
            </w:r>
          </w:p>
        </w:tc>
      </w:tr>
      <w:tr w:rsidR="00693A55"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hideMark/>
          </w:tcPr>
          <w:p w:rsidR="00D670F4" w:rsidRPr="00A97546" w:rsidRDefault="00D670F4" w:rsidP="00693A55">
            <w:pPr>
              <w:keepNext/>
              <w:keepLines/>
              <w:rPr>
                <w:b/>
                <w:color w:val="000000"/>
                <w:sz w:val="16"/>
                <w:szCs w:val="16"/>
              </w:rPr>
            </w:pPr>
            <w:r w:rsidRPr="00A97546">
              <w:rPr>
                <w:b/>
                <w:color w:val="000000"/>
                <w:sz w:val="16"/>
                <w:szCs w:val="16"/>
              </w:rPr>
              <w:t>SV1-PSY Psykologi</w:t>
            </w:r>
          </w:p>
        </w:tc>
        <w:tc>
          <w:tcPr>
            <w:tcW w:w="449" w:type="pct"/>
            <w:tcBorders>
              <w:left w:val="nil"/>
            </w:tcBorders>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 16 570 </w:t>
            </w: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sz w:val="16"/>
                <w:szCs w:val="16"/>
              </w:rPr>
            </w:pPr>
          </w:p>
        </w:tc>
      </w:tr>
      <w:tr w:rsidR="00D670F4" w:rsidRPr="00A97546" w:rsidTr="00693A55">
        <w:trPr>
          <w:trHeight w:val="345"/>
        </w:trPr>
        <w:tc>
          <w:tcPr>
            <w:tcW w:w="2304" w:type="pct"/>
            <w:vAlign w:val="center"/>
            <w:hideMark/>
          </w:tcPr>
          <w:p w:rsidR="00D670F4" w:rsidRPr="00A97546" w:rsidRDefault="00D670F4" w:rsidP="00693A55">
            <w:pPr>
              <w:keepNext/>
              <w:keepLines/>
              <w:rPr>
                <w:b/>
                <w:color w:val="000000"/>
                <w:sz w:val="16"/>
                <w:szCs w:val="16"/>
              </w:rPr>
            </w:pPr>
            <w:r w:rsidRPr="00A97546">
              <w:rPr>
                <w:b/>
                <w:color w:val="000000"/>
                <w:sz w:val="16"/>
                <w:szCs w:val="16"/>
              </w:rPr>
              <w:t>SV1-SOS Sosiologi</w:t>
            </w:r>
          </w:p>
        </w:tc>
        <w:tc>
          <w:tcPr>
            <w:tcW w:w="449" w:type="pct"/>
            <w:tcBorders>
              <w:left w:val="nil"/>
            </w:tcBorders>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5 690 </w:t>
            </w: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color w:val="000000"/>
                <w:sz w:val="16"/>
                <w:szCs w:val="16"/>
              </w:rPr>
            </w:pP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sz w:val="16"/>
                <w:szCs w:val="16"/>
              </w:rPr>
            </w:pPr>
          </w:p>
        </w:tc>
      </w:tr>
      <w:tr w:rsidR="00693A55"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hideMark/>
          </w:tcPr>
          <w:p w:rsidR="00D670F4" w:rsidRPr="00A97546" w:rsidRDefault="00D670F4" w:rsidP="00693A55">
            <w:pPr>
              <w:keepNext/>
              <w:keepLines/>
              <w:rPr>
                <w:b/>
                <w:color w:val="000000"/>
                <w:sz w:val="16"/>
                <w:szCs w:val="16"/>
              </w:rPr>
            </w:pPr>
            <w:r w:rsidRPr="00A97546">
              <w:rPr>
                <w:b/>
                <w:color w:val="000000"/>
                <w:sz w:val="16"/>
                <w:szCs w:val="16"/>
              </w:rPr>
              <w:t>SV1-STV Statsvitenskap</w:t>
            </w:r>
          </w:p>
        </w:tc>
        <w:tc>
          <w:tcPr>
            <w:tcW w:w="449" w:type="pct"/>
            <w:tcBorders>
              <w:left w:val="nil"/>
            </w:tcBorders>
            <w:vAlign w:val="center"/>
            <w:hideMark/>
          </w:tcPr>
          <w:p w:rsidR="00D670F4" w:rsidRPr="00A97546" w:rsidRDefault="00D670F4" w:rsidP="00693A55">
            <w:pPr>
              <w:keepNext/>
              <w:keepLines/>
              <w:jc w:val="right"/>
              <w:rPr>
                <w:color w:val="000000"/>
                <w:sz w:val="16"/>
                <w:szCs w:val="16"/>
              </w:rPr>
            </w:pP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11 800 </w:t>
            </w: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sz w:val="16"/>
                <w:szCs w:val="16"/>
              </w:rPr>
            </w:pPr>
          </w:p>
        </w:tc>
      </w:tr>
      <w:tr w:rsidR="00D670F4" w:rsidRPr="00A97546" w:rsidTr="00693A55">
        <w:trPr>
          <w:trHeight w:val="345"/>
        </w:trPr>
        <w:tc>
          <w:tcPr>
            <w:tcW w:w="2304" w:type="pct"/>
            <w:vAlign w:val="center"/>
            <w:hideMark/>
          </w:tcPr>
          <w:p w:rsidR="00D670F4" w:rsidRPr="00A97546" w:rsidRDefault="00D670F4" w:rsidP="00693A55">
            <w:pPr>
              <w:keepNext/>
              <w:keepLines/>
              <w:rPr>
                <w:b/>
                <w:color w:val="000000"/>
                <w:sz w:val="16"/>
                <w:szCs w:val="16"/>
              </w:rPr>
            </w:pPr>
            <w:r w:rsidRPr="00A97546">
              <w:rPr>
                <w:b/>
                <w:color w:val="000000"/>
                <w:sz w:val="16"/>
                <w:szCs w:val="16"/>
              </w:rPr>
              <w:t>SVB-ECON Samfunnsøkonomi</w:t>
            </w:r>
          </w:p>
        </w:tc>
        <w:tc>
          <w:tcPr>
            <w:tcW w:w="449" w:type="pct"/>
            <w:tcBorders>
              <w:left w:val="nil"/>
            </w:tcBorders>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640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1 720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 390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50 </w:t>
            </w: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25 516 </w:t>
            </w:r>
          </w:p>
        </w:tc>
      </w:tr>
      <w:tr w:rsidR="00693A55"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hideMark/>
          </w:tcPr>
          <w:p w:rsidR="00D670F4" w:rsidRPr="00A97546" w:rsidRDefault="00D670F4" w:rsidP="00693A55">
            <w:pPr>
              <w:keepNext/>
              <w:keepLines/>
              <w:rPr>
                <w:b/>
                <w:color w:val="000000"/>
                <w:sz w:val="16"/>
                <w:szCs w:val="16"/>
              </w:rPr>
            </w:pPr>
            <w:r w:rsidRPr="00A97546">
              <w:rPr>
                <w:b/>
                <w:color w:val="000000"/>
                <w:sz w:val="16"/>
                <w:szCs w:val="16"/>
              </w:rPr>
              <w:t>SVB-EURO Europastudier (EU)</w:t>
            </w:r>
          </w:p>
        </w:tc>
        <w:tc>
          <w:tcPr>
            <w:tcW w:w="449" w:type="pct"/>
            <w:tcBorders>
              <w:left w:val="nil"/>
            </w:tcBorders>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90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9 090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 10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  -</w:t>
            </w: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280 </w:t>
            </w:r>
          </w:p>
        </w:tc>
      </w:tr>
      <w:tr w:rsidR="00D670F4" w:rsidRPr="00A97546" w:rsidTr="00693A55">
        <w:trPr>
          <w:trHeight w:val="360"/>
        </w:trPr>
        <w:tc>
          <w:tcPr>
            <w:tcW w:w="2304" w:type="pct"/>
            <w:vAlign w:val="center"/>
            <w:hideMark/>
          </w:tcPr>
          <w:p w:rsidR="00D670F4" w:rsidRPr="00A97546" w:rsidRDefault="00D670F4" w:rsidP="00693A55">
            <w:pPr>
              <w:keepNext/>
              <w:keepLines/>
              <w:rPr>
                <w:b/>
                <w:color w:val="000000"/>
                <w:sz w:val="16"/>
                <w:szCs w:val="16"/>
              </w:rPr>
            </w:pPr>
            <w:r w:rsidRPr="00A97546">
              <w:rPr>
                <w:b/>
                <w:color w:val="000000"/>
                <w:sz w:val="16"/>
                <w:szCs w:val="16"/>
              </w:rPr>
              <w:t>SVB-INTER Internasjonale studier</w:t>
            </w:r>
          </w:p>
        </w:tc>
        <w:tc>
          <w:tcPr>
            <w:tcW w:w="449" w:type="pct"/>
            <w:tcBorders>
              <w:left w:val="nil"/>
            </w:tcBorders>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190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16 510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 80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70 </w:t>
            </w: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  3 960 </w:t>
            </w: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hideMark/>
          </w:tcPr>
          <w:p w:rsidR="00D670F4" w:rsidRPr="00A97546" w:rsidRDefault="00D670F4" w:rsidP="00693A55">
            <w:pPr>
              <w:keepNext/>
              <w:keepLines/>
              <w:rPr>
                <w:b/>
                <w:color w:val="000000"/>
                <w:sz w:val="16"/>
                <w:szCs w:val="16"/>
              </w:rPr>
            </w:pPr>
            <w:r w:rsidRPr="00A97546">
              <w:rPr>
                <w:b/>
                <w:color w:val="000000"/>
                <w:sz w:val="16"/>
                <w:szCs w:val="16"/>
              </w:rPr>
              <w:t>SVB-KULKOM Kultur og kommunikasjon</w:t>
            </w:r>
          </w:p>
        </w:tc>
        <w:tc>
          <w:tcPr>
            <w:tcW w:w="449" w:type="pct"/>
            <w:tcBorders>
              <w:left w:val="nil"/>
            </w:tcBorders>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11 740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340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 5 090 </w:t>
            </w: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2 770 </w:t>
            </w:r>
          </w:p>
        </w:tc>
        <w:tc>
          <w:tcPr>
            <w:tcW w:w="449" w:type="pct"/>
            <w:vAlign w:val="center"/>
            <w:hideMark/>
          </w:tcPr>
          <w:p w:rsidR="00D670F4" w:rsidRPr="00A97546" w:rsidRDefault="00D670F4" w:rsidP="00693A55">
            <w:pPr>
              <w:keepNext/>
              <w:keepLines/>
              <w:jc w:val="right"/>
              <w:rPr>
                <w:sz w:val="16"/>
                <w:szCs w:val="16"/>
              </w:rPr>
            </w:pPr>
          </w:p>
        </w:tc>
        <w:tc>
          <w:tcPr>
            <w:tcW w:w="449" w:type="pct"/>
            <w:vAlign w:val="center"/>
            <w:hideMark/>
          </w:tcPr>
          <w:p w:rsidR="00D670F4" w:rsidRPr="00A97546" w:rsidRDefault="00D670F4" w:rsidP="00693A55">
            <w:pPr>
              <w:keepNext/>
              <w:keepLines/>
              <w:jc w:val="right"/>
              <w:rPr>
                <w:color w:val="000000"/>
                <w:sz w:val="16"/>
                <w:szCs w:val="16"/>
              </w:rPr>
            </w:pPr>
            <w:r w:rsidRPr="00A97546">
              <w:rPr>
                <w:color w:val="000000"/>
                <w:sz w:val="16"/>
                <w:szCs w:val="16"/>
              </w:rPr>
              <w:t xml:space="preserve">  40 </w:t>
            </w: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SVB-OADM Offentlig administrasjon og ledelse</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1 810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10 370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900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120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3 930 </w:t>
            </w: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SVB-PSY Psykologi</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270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330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65 700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70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310 </w:t>
            </w: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SVB-SANT Sosialantropologi</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1 390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1 240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1 040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20 760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240 </w:t>
            </w: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SVB-SGO Samfunnsgeografi</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15 960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2 700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300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345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620 </w:t>
            </w: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SVB-SOS Sosiologi</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21 420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1 730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2 760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150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550 </w:t>
            </w: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SVB-STV Statsvitenskap</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1 840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40 910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940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80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3 647 </w:t>
            </w: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SVB-UTV Utviklingsstudier</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10 320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4 870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50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1 980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2 160 </w:t>
            </w: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SVC-PSY Profesjonsstudiet i psykologi</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50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120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169 820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30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60 </w:t>
            </w: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SVM2-DEVG Development Geography</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1 930 </w:t>
            </w: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color w:val="000000"/>
                <w:sz w:val="16"/>
                <w:szCs w:val="16"/>
              </w:rPr>
            </w:pP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SVM2-ECON Samfunnsøkonomi</w:t>
            </w:r>
          </w:p>
        </w:tc>
        <w:tc>
          <w:tcPr>
            <w:tcW w:w="449" w:type="pct"/>
            <w:tcBorders>
              <w:left w:val="nil"/>
            </w:tcBorders>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31 342 </w:t>
            </w: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lang w:val="en-US"/>
              </w:rPr>
            </w:pPr>
            <w:r w:rsidRPr="00A97546">
              <w:rPr>
                <w:b/>
                <w:color w:val="000000"/>
                <w:sz w:val="16"/>
                <w:szCs w:val="16"/>
                <w:lang w:val="en-US"/>
              </w:rPr>
              <w:t>SVM2-EDEC Environmental and Development Economics</w:t>
            </w:r>
          </w:p>
        </w:tc>
        <w:tc>
          <w:tcPr>
            <w:tcW w:w="449" w:type="pct"/>
            <w:tcBorders>
              <w:left w:val="nil"/>
            </w:tcBorders>
            <w:vAlign w:val="center"/>
          </w:tcPr>
          <w:p w:rsidR="00D670F4" w:rsidRPr="00A97546" w:rsidRDefault="00D670F4" w:rsidP="00693A55">
            <w:pPr>
              <w:keepNext/>
              <w:keepLines/>
              <w:jc w:val="right"/>
              <w:rPr>
                <w:sz w:val="16"/>
                <w:szCs w:val="16"/>
                <w:lang w:val="en-US"/>
              </w:rPr>
            </w:pPr>
          </w:p>
        </w:tc>
        <w:tc>
          <w:tcPr>
            <w:tcW w:w="449" w:type="pct"/>
            <w:vAlign w:val="center"/>
          </w:tcPr>
          <w:p w:rsidR="00D670F4" w:rsidRPr="00A97546" w:rsidRDefault="00D670F4" w:rsidP="00693A55">
            <w:pPr>
              <w:keepNext/>
              <w:keepLines/>
              <w:jc w:val="right"/>
              <w:rPr>
                <w:sz w:val="16"/>
                <w:szCs w:val="16"/>
                <w:lang w:val="en-US"/>
              </w:rPr>
            </w:pPr>
          </w:p>
        </w:tc>
        <w:tc>
          <w:tcPr>
            <w:tcW w:w="449" w:type="pct"/>
            <w:vAlign w:val="center"/>
          </w:tcPr>
          <w:p w:rsidR="00D670F4" w:rsidRPr="00A97546" w:rsidRDefault="00D670F4" w:rsidP="00693A55">
            <w:pPr>
              <w:keepNext/>
              <w:keepLines/>
              <w:jc w:val="right"/>
              <w:rPr>
                <w:sz w:val="16"/>
                <w:szCs w:val="16"/>
                <w:lang w:val="en-US"/>
              </w:rPr>
            </w:pPr>
          </w:p>
        </w:tc>
        <w:tc>
          <w:tcPr>
            <w:tcW w:w="449" w:type="pct"/>
            <w:vAlign w:val="center"/>
          </w:tcPr>
          <w:p w:rsidR="00D670F4" w:rsidRPr="00A97546" w:rsidRDefault="00D670F4" w:rsidP="00693A55">
            <w:pPr>
              <w:keepNext/>
              <w:keepLines/>
              <w:jc w:val="right"/>
              <w:rPr>
                <w:sz w:val="16"/>
                <w:szCs w:val="16"/>
                <w:lang w:val="en-US"/>
              </w:rPr>
            </w:pPr>
          </w:p>
        </w:tc>
        <w:tc>
          <w:tcPr>
            <w:tcW w:w="449" w:type="pct"/>
            <w:vAlign w:val="center"/>
          </w:tcPr>
          <w:p w:rsidR="00D670F4" w:rsidRPr="00A97546" w:rsidRDefault="00D670F4" w:rsidP="00693A55">
            <w:pPr>
              <w:keepNext/>
              <w:keepLines/>
              <w:jc w:val="right"/>
              <w:rPr>
                <w:sz w:val="16"/>
                <w:szCs w:val="16"/>
                <w:lang w:val="en-US"/>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270 </w:t>
            </w: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SVM2-HGO Human Geography</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610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SVM2-OLA Organisasjon, ledelse og arbeid</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10 670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180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310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w:t>
            </w:r>
          </w:p>
        </w:tc>
        <w:tc>
          <w:tcPr>
            <w:tcW w:w="449" w:type="pct"/>
            <w:vAlign w:val="center"/>
          </w:tcPr>
          <w:p w:rsidR="00D670F4" w:rsidRPr="00A97546" w:rsidRDefault="00D670F4" w:rsidP="00693A55">
            <w:pPr>
              <w:keepNext/>
              <w:keepLines/>
              <w:jc w:val="right"/>
              <w:rPr>
                <w:sz w:val="16"/>
                <w:szCs w:val="16"/>
              </w:rPr>
            </w:pP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lang w:val="en-US"/>
              </w:rPr>
            </w:pPr>
            <w:r w:rsidRPr="00A97546">
              <w:rPr>
                <w:b/>
                <w:color w:val="000000"/>
                <w:sz w:val="16"/>
                <w:szCs w:val="16"/>
                <w:lang w:val="en-US"/>
              </w:rPr>
              <w:t>SVM2-PECOS Peace and Conflict Studies</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7 555 </w:t>
            </w: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sz w:val="16"/>
                <w:szCs w:val="16"/>
              </w:rPr>
            </w:pP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SVM2-PSY Psykologi</w:t>
            </w:r>
          </w:p>
        </w:tc>
        <w:tc>
          <w:tcPr>
            <w:tcW w:w="449" w:type="pct"/>
            <w:tcBorders>
              <w:left w:val="nil"/>
            </w:tcBorders>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32 950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SVM2-SANT Sosialantropologi</w:t>
            </w:r>
          </w:p>
        </w:tc>
        <w:tc>
          <w:tcPr>
            <w:tcW w:w="449" w:type="pct"/>
            <w:tcBorders>
              <w:left w:val="nil"/>
            </w:tcBorders>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17 600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SVM2-SGO Samfunnsgeografi</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10 050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10 </w:t>
            </w:r>
          </w:p>
        </w:tc>
        <w:tc>
          <w:tcPr>
            <w:tcW w:w="449" w:type="pct"/>
            <w:vAlign w:val="center"/>
          </w:tcPr>
          <w:p w:rsidR="00D670F4" w:rsidRPr="00A97546" w:rsidRDefault="00D670F4" w:rsidP="00693A55">
            <w:pPr>
              <w:keepNext/>
              <w:keepLines/>
              <w:jc w:val="right"/>
              <w:rPr>
                <w:rFonts w:eastAsia="Times New Roman" w:cs="Times New Roman"/>
                <w:color w:val="000000"/>
                <w:sz w:val="16"/>
                <w:szCs w:val="16"/>
                <w:lang w:eastAsia="nb-NO"/>
              </w:rPr>
            </w:pP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SVM2-SOS Sosiologi</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22 130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30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rFonts w:eastAsia="Times New Roman" w:cs="Times New Roman"/>
                <w:color w:val="000000"/>
                <w:sz w:val="16"/>
                <w:szCs w:val="16"/>
                <w:lang w:eastAsia="nb-NO"/>
              </w:rPr>
            </w:pP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SVM2-STV Statsvitenskap</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140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48 840 </w:t>
            </w: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10 </w:t>
            </w:r>
          </w:p>
        </w:tc>
        <w:tc>
          <w:tcPr>
            <w:tcW w:w="449" w:type="pct"/>
            <w:vAlign w:val="center"/>
          </w:tcPr>
          <w:p w:rsidR="00D670F4" w:rsidRPr="00A97546" w:rsidRDefault="00D670F4" w:rsidP="00693A55">
            <w:pPr>
              <w:keepNext/>
              <w:keepLines/>
              <w:jc w:val="right"/>
              <w:rPr>
                <w:rFonts w:eastAsia="Times New Roman" w:cs="Times New Roman"/>
                <w:color w:val="000000"/>
                <w:sz w:val="16"/>
                <w:szCs w:val="16"/>
                <w:lang w:eastAsia="nb-NO"/>
              </w:rPr>
            </w:pP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SVM2-TIK Teknologi, innovasjon og kunnskap</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850 </w:t>
            </w: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sz w:val="16"/>
                <w:szCs w:val="16"/>
              </w:rPr>
            </w:pP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8 610 </w:t>
            </w:r>
          </w:p>
        </w:tc>
        <w:tc>
          <w:tcPr>
            <w:tcW w:w="449" w:type="pct"/>
            <w:vAlign w:val="center"/>
          </w:tcPr>
          <w:p w:rsidR="00D670F4" w:rsidRPr="00A97546" w:rsidRDefault="00D670F4" w:rsidP="00693A55">
            <w:pPr>
              <w:keepNext/>
              <w:keepLines/>
              <w:jc w:val="right"/>
              <w:rPr>
                <w:rFonts w:eastAsia="Times New Roman" w:cs="Times New Roman"/>
                <w:color w:val="000000"/>
                <w:sz w:val="16"/>
                <w:szCs w:val="16"/>
                <w:lang w:eastAsia="nb-NO"/>
              </w:rPr>
            </w:pPr>
          </w:p>
        </w:tc>
      </w:tr>
      <w:tr w:rsidR="00D670F4" w:rsidRPr="00A97546" w:rsidTr="00693A55">
        <w:trPr>
          <w:trHeight w:val="345"/>
        </w:trPr>
        <w:tc>
          <w:tcPr>
            <w:tcW w:w="2304" w:type="pct"/>
            <w:vAlign w:val="center"/>
          </w:tcPr>
          <w:p w:rsidR="00D670F4" w:rsidRPr="00A97546" w:rsidRDefault="00D670F4" w:rsidP="00693A55">
            <w:pPr>
              <w:keepNext/>
              <w:keepLines/>
              <w:rPr>
                <w:b/>
                <w:color w:val="000000"/>
                <w:sz w:val="16"/>
                <w:szCs w:val="16"/>
              </w:rPr>
            </w:pPr>
            <w:r w:rsidRPr="00A97546">
              <w:rPr>
                <w:b/>
                <w:color w:val="000000"/>
                <w:sz w:val="16"/>
                <w:szCs w:val="16"/>
              </w:rPr>
              <w:t>SVM5-ECON Samfunnsøkonomisk analyse</w:t>
            </w:r>
          </w:p>
        </w:tc>
        <w:tc>
          <w:tcPr>
            <w:tcW w:w="449" w:type="pct"/>
            <w:tcBorders>
              <w:left w:val="nil"/>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80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290 </w:t>
            </w:r>
          </w:p>
        </w:tc>
        <w:tc>
          <w:tcPr>
            <w:tcW w:w="449" w:type="pct"/>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 50 </w:t>
            </w:r>
          </w:p>
        </w:tc>
        <w:tc>
          <w:tcPr>
            <w:tcW w:w="449" w:type="pct"/>
            <w:vAlign w:val="center"/>
          </w:tcPr>
          <w:p w:rsidR="00D670F4" w:rsidRPr="00A97546" w:rsidRDefault="00361970" w:rsidP="00693A55">
            <w:pPr>
              <w:keepNext/>
              <w:keepLines/>
              <w:jc w:val="right"/>
              <w:rPr>
                <w:color w:val="000000"/>
                <w:sz w:val="16"/>
                <w:szCs w:val="16"/>
              </w:rPr>
            </w:pPr>
            <w:r w:rsidRPr="00A97546">
              <w:rPr>
                <w:color w:val="000000"/>
                <w:sz w:val="16"/>
                <w:szCs w:val="16"/>
              </w:rPr>
              <w:t xml:space="preserve">  </w:t>
            </w:r>
          </w:p>
        </w:tc>
        <w:tc>
          <w:tcPr>
            <w:tcW w:w="449" w:type="pct"/>
            <w:vAlign w:val="center"/>
          </w:tcPr>
          <w:p w:rsidR="00D670F4" w:rsidRPr="00A97546" w:rsidRDefault="00D670F4" w:rsidP="00693A55">
            <w:pPr>
              <w:keepNext/>
              <w:keepLines/>
              <w:jc w:val="right"/>
              <w:rPr>
                <w:color w:val="000000"/>
                <w:sz w:val="16"/>
                <w:szCs w:val="16"/>
              </w:rPr>
            </w:pPr>
          </w:p>
        </w:tc>
        <w:tc>
          <w:tcPr>
            <w:tcW w:w="449" w:type="pct"/>
            <w:vAlign w:val="center"/>
          </w:tcPr>
          <w:p w:rsidR="00D670F4" w:rsidRPr="00A97546" w:rsidRDefault="00361970" w:rsidP="00693A55">
            <w:pPr>
              <w:keepNext/>
              <w:keepLines/>
              <w:jc w:val="right"/>
              <w:rPr>
                <w:rFonts w:eastAsia="Times New Roman" w:cs="Times New Roman"/>
                <w:color w:val="000000"/>
                <w:sz w:val="16"/>
                <w:szCs w:val="16"/>
                <w:lang w:eastAsia="nb-NO"/>
              </w:rPr>
            </w:pPr>
            <w:r w:rsidRPr="00A97546">
              <w:rPr>
                <w:rFonts w:eastAsia="Times New Roman" w:cs="Times New Roman"/>
                <w:color w:val="000000"/>
                <w:sz w:val="16"/>
                <w:szCs w:val="16"/>
                <w:lang w:eastAsia="nb-NO"/>
              </w:rPr>
              <w:t>27 069</w:t>
            </w:r>
          </w:p>
        </w:tc>
      </w:tr>
      <w:tr w:rsidR="00D670F4" w:rsidRPr="00A97546" w:rsidTr="00693A55">
        <w:trPr>
          <w:cnfStyle w:val="000000100000" w:firstRow="0" w:lastRow="0" w:firstColumn="0" w:lastColumn="0" w:oddVBand="0" w:evenVBand="0" w:oddHBand="1" w:evenHBand="0" w:firstRowFirstColumn="0" w:firstRowLastColumn="0" w:lastRowFirstColumn="0" w:lastRowLastColumn="0"/>
          <w:trHeight w:val="345"/>
        </w:trPr>
        <w:tc>
          <w:tcPr>
            <w:tcW w:w="2304" w:type="pct"/>
            <w:tcBorders>
              <w:bottom w:val="single" w:sz="8" w:space="0" w:color="000000"/>
            </w:tcBorders>
            <w:vAlign w:val="center"/>
          </w:tcPr>
          <w:p w:rsidR="00D670F4" w:rsidRPr="00A97546" w:rsidRDefault="00D670F4" w:rsidP="00693A55">
            <w:pPr>
              <w:keepNext/>
              <w:keepLines/>
              <w:rPr>
                <w:b/>
                <w:color w:val="000000"/>
                <w:sz w:val="16"/>
                <w:szCs w:val="16"/>
                <w:lang w:val="en-US"/>
              </w:rPr>
            </w:pPr>
            <w:r w:rsidRPr="00A97546">
              <w:rPr>
                <w:b/>
                <w:color w:val="000000"/>
                <w:sz w:val="16"/>
                <w:szCs w:val="16"/>
                <w:lang w:val="en-US"/>
              </w:rPr>
              <w:t>SVMA-ESST Society, Science and Technology in Europe</w:t>
            </w:r>
          </w:p>
        </w:tc>
        <w:tc>
          <w:tcPr>
            <w:tcW w:w="449" w:type="pct"/>
            <w:tcBorders>
              <w:left w:val="nil"/>
              <w:bottom w:val="single" w:sz="8" w:space="0" w:color="000000"/>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10 </w:t>
            </w:r>
          </w:p>
        </w:tc>
        <w:tc>
          <w:tcPr>
            <w:tcW w:w="449" w:type="pct"/>
            <w:tcBorders>
              <w:bottom w:val="single" w:sz="8" w:space="0" w:color="000000"/>
            </w:tcBorders>
            <w:vAlign w:val="center"/>
          </w:tcPr>
          <w:p w:rsidR="00D670F4" w:rsidRPr="00A97546" w:rsidRDefault="00D670F4" w:rsidP="00693A55">
            <w:pPr>
              <w:keepNext/>
              <w:keepLines/>
              <w:jc w:val="right"/>
              <w:rPr>
                <w:color w:val="000000"/>
                <w:sz w:val="16"/>
                <w:szCs w:val="16"/>
              </w:rPr>
            </w:pPr>
          </w:p>
        </w:tc>
        <w:tc>
          <w:tcPr>
            <w:tcW w:w="449" w:type="pct"/>
            <w:tcBorders>
              <w:bottom w:val="single" w:sz="8" w:space="0" w:color="000000"/>
            </w:tcBorders>
            <w:vAlign w:val="center"/>
          </w:tcPr>
          <w:p w:rsidR="00D670F4" w:rsidRPr="00A97546" w:rsidRDefault="00D670F4" w:rsidP="00693A55">
            <w:pPr>
              <w:keepNext/>
              <w:keepLines/>
              <w:jc w:val="right"/>
              <w:rPr>
                <w:color w:val="000000"/>
                <w:sz w:val="16"/>
                <w:szCs w:val="16"/>
              </w:rPr>
            </w:pPr>
          </w:p>
        </w:tc>
        <w:tc>
          <w:tcPr>
            <w:tcW w:w="449" w:type="pct"/>
            <w:tcBorders>
              <w:bottom w:val="single" w:sz="8" w:space="0" w:color="000000"/>
            </w:tcBorders>
            <w:vAlign w:val="center"/>
          </w:tcPr>
          <w:p w:rsidR="00D670F4" w:rsidRPr="00A97546" w:rsidRDefault="00D670F4" w:rsidP="00693A55">
            <w:pPr>
              <w:keepNext/>
              <w:keepLines/>
              <w:jc w:val="right"/>
              <w:rPr>
                <w:color w:val="000000"/>
                <w:sz w:val="16"/>
                <w:szCs w:val="16"/>
              </w:rPr>
            </w:pPr>
          </w:p>
        </w:tc>
        <w:tc>
          <w:tcPr>
            <w:tcW w:w="449" w:type="pct"/>
            <w:tcBorders>
              <w:bottom w:val="single" w:sz="8" w:space="0" w:color="000000"/>
            </w:tcBorders>
            <w:vAlign w:val="center"/>
          </w:tcPr>
          <w:p w:rsidR="00D670F4" w:rsidRPr="00A97546" w:rsidRDefault="00D670F4" w:rsidP="00693A55">
            <w:pPr>
              <w:keepNext/>
              <w:keepLines/>
              <w:jc w:val="right"/>
              <w:rPr>
                <w:color w:val="000000"/>
                <w:sz w:val="16"/>
                <w:szCs w:val="16"/>
              </w:rPr>
            </w:pPr>
            <w:r w:rsidRPr="00A97546">
              <w:rPr>
                <w:color w:val="000000"/>
                <w:sz w:val="16"/>
                <w:szCs w:val="16"/>
              </w:rPr>
              <w:t xml:space="preserve">3 900 </w:t>
            </w:r>
          </w:p>
        </w:tc>
        <w:tc>
          <w:tcPr>
            <w:tcW w:w="449" w:type="pct"/>
            <w:tcBorders>
              <w:bottom w:val="single" w:sz="8" w:space="0" w:color="000000"/>
            </w:tcBorders>
            <w:vAlign w:val="center"/>
          </w:tcPr>
          <w:p w:rsidR="00D670F4" w:rsidRPr="00A97546" w:rsidRDefault="00D670F4" w:rsidP="00693A55">
            <w:pPr>
              <w:keepNext/>
              <w:keepLines/>
              <w:jc w:val="right"/>
              <w:rPr>
                <w:rFonts w:eastAsia="Times New Roman" w:cs="Times New Roman"/>
                <w:color w:val="000000"/>
                <w:sz w:val="16"/>
                <w:szCs w:val="16"/>
                <w:lang w:eastAsia="nb-NO"/>
              </w:rPr>
            </w:pPr>
          </w:p>
        </w:tc>
      </w:tr>
    </w:tbl>
    <w:p w:rsidR="00B13BB5" w:rsidRPr="00EC1134" w:rsidRDefault="00B13BB5" w:rsidP="00B13BB5">
      <w:pPr>
        <w:pStyle w:val="BodyText"/>
        <w:rPr>
          <w:lang w:val="nb-NO"/>
        </w:rPr>
      </w:pPr>
    </w:p>
    <w:p w:rsidR="00B13BB5" w:rsidRDefault="00B13BB5" w:rsidP="00B13BB5">
      <w:pPr>
        <w:pStyle w:val="BodyText"/>
        <w:rPr>
          <w:lang w:val="nb-NO" w:eastAsia="en-US"/>
        </w:rPr>
      </w:pPr>
    </w:p>
    <w:p w:rsidR="00361970" w:rsidRDefault="00361970" w:rsidP="00B13BB5">
      <w:pPr>
        <w:pStyle w:val="BodyText"/>
        <w:rPr>
          <w:lang w:val="nb-NO" w:eastAsia="en-US"/>
        </w:rPr>
      </w:pPr>
    </w:p>
    <w:p w:rsidR="00361970" w:rsidRDefault="00361970" w:rsidP="00B13BB5">
      <w:pPr>
        <w:pStyle w:val="BodyText"/>
        <w:rPr>
          <w:lang w:val="nb-NO" w:eastAsia="en-US"/>
        </w:rPr>
      </w:pPr>
    </w:p>
    <w:p w:rsidR="00361970" w:rsidRDefault="00361970" w:rsidP="00B13BB5">
      <w:pPr>
        <w:pStyle w:val="BodyText"/>
        <w:rPr>
          <w:lang w:val="nb-NO" w:eastAsia="en-US"/>
        </w:rPr>
      </w:pPr>
    </w:p>
    <w:p w:rsidR="00361970" w:rsidRPr="00EC1134" w:rsidRDefault="00361970" w:rsidP="00B13BB5">
      <w:pPr>
        <w:pStyle w:val="BodyText"/>
        <w:rPr>
          <w:lang w:val="nb-NO" w:eastAsia="en-US"/>
        </w:rPr>
      </w:pPr>
    </w:p>
    <w:p w:rsidR="00A632C7" w:rsidRPr="00EC1134" w:rsidRDefault="00A632C7" w:rsidP="00693A55">
      <w:pPr>
        <w:pStyle w:val="Caption"/>
        <w:keepNext/>
        <w:keepLines/>
        <w:spacing w:line="240" w:lineRule="auto"/>
        <w:rPr>
          <w:lang w:val="nb-NO"/>
        </w:rPr>
      </w:pPr>
      <w:bookmarkStart w:id="19" w:name="_Ref511392744"/>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23</w:t>
      </w:r>
      <w:r w:rsidRPr="00EC1134">
        <w:rPr>
          <w:lang w:val="nb-NO"/>
        </w:rPr>
        <w:fldChar w:fldCharType="end"/>
      </w:r>
      <w:bookmarkEnd w:id="19"/>
      <w:r w:rsidRPr="00EC1134">
        <w:rPr>
          <w:lang w:val="nb-NO"/>
        </w:rPr>
        <w:t>: Basistildeling 2018 med dagens og ny modell, tusen kroner</w:t>
      </w:r>
    </w:p>
    <w:tbl>
      <w:tblPr>
        <w:tblW w:w="5000" w:type="pct"/>
        <w:tblCellMar>
          <w:left w:w="70" w:type="dxa"/>
          <w:right w:w="70" w:type="dxa"/>
        </w:tblCellMar>
        <w:tblLook w:val="04A0" w:firstRow="1" w:lastRow="0" w:firstColumn="1" w:lastColumn="0" w:noHBand="0" w:noVBand="1"/>
      </w:tblPr>
      <w:tblGrid>
        <w:gridCol w:w="1923"/>
        <w:gridCol w:w="1927"/>
        <w:gridCol w:w="2075"/>
        <w:gridCol w:w="2374"/>
      </w:tblGrid>
      <w:tr w:rsidR="00361970" w:rsidRPr="00361970" w:rsidTr="00361970">
        <w:trPr>
          <w:trHeight w:val="705"/>
        </w:trPr>
        <w:tc>
          <w:tcPr>
            <w:tcW w:w="1159" w:type="pct"/>
            <w:tcBorders>
              <w:top w:val="single" w:sz="8" w:space="0" w:color="000000"/>
              <w:left w:val="nil"/>
              <w:bottom w:val="single" w:sz="8" w:space="0" w:color="000000"/>
              <w:right w:val="nil"/>
            </w:tcBorders>
            <w:shd w:val="clear" w:color="auto" w:fill="auto"/>
            <w:vAlign w:val="center"/>
            <w:hideMark/>
          </w:tcPr>
          <w:p w:rsidR="00361970" w:rsidRPr="00361970" w:rsidRDefault="00361970" w:rsidP="00361970">
            <w:pPr>
              <w:rPr>
                <w:rFonts w:ascii="Cambria" w:eastAsia="Times New Roman" w:hAnsi="Cambria" w:cs="Times New Roman"/>
                <w:color w:val="000000"/>
                <w:lang w:eastAsia="nb-NO"/>
              </w:rPr>
            </w:pPr>
            <w:r w:rsidRPr="00361970">
              <w:rPr>
                <w:rFonts w:ascii="Cambria" w:eastAsia="Times New Roman" w:hAnsi="Cambria" w:cs="Times New Roman"/>
                <w:color w:val="000000"/>
                <w:lang w:eastAsia="nb-NO"/>
              </w:rPr>
              <w:t> </w:t>
            </w:r>
          </w:p>
        </w:tc>
        <w:tc>
          <w:tcPr>
            <w:tcW w:w="1161" w:type="pct"/>
            <w:tcBorders>
              <w:top w:val="single" w:sz="8" w:space="0" w:color="000000"/>
              <w:left w:val="nil"/>
              <w:bottom w:val="single" w:sz="8" w:space="0" w:color="000000"/>
              <w:right w:val="nil"/>
            </w:tcBorders>
            <w:shd w:val="clear" w:color="auto" w:fill="auto"/>
            <w:vAlign w:val="center"/>
            <w:hideMark/>
          </w:tcPr>
          <w:p w:rsidR="00361970" w:rsidRPr="00361970" w:rsidRDefault="00361970" w:rsidP="00361970">
            <w:pPr>
              <w:jc w:val="center"/>
              <w:rPr>
                <w:rFonts w:eastAsia="Times New Roman" w:cs="Times New Roman"/>
                <w:b/>
                <w:bCs/>
                <w:color w:val="000000"/>
                <w:sz w:val="22"/>
                <w:szCs w:val="22"/>
                <w:lang w:eastAsia="nb-NO"/>
              </w:rPr>
            </w:pPr>
            <w:r w:rsidRPr="00361970">
              <w:rPr>
                <w:rFonts w:eastAsia="Times New Roman" w:cs="Times New Roman"/>
                <w:b/>
                <w:bCs/>
                <w:color w:val="000000"/>
                <w:sz w:val="22"/>
                <w:szCs w:val="22"/>
                <w:lang w:eastAsia="nb-NO"/>
              </w:rPr>
              <w:t>Ny modell</w:t>
            </w:r>
          </w:p>
        </w:tc>
        <w:tc>
          <w:tcPr>
            <w:tcW w:w="1250" w:type="pct"/>
            <w:tcBorders>
              <w:top w:val="single" w:sz="8" w:space="0" w:color="000000"/>
              <w:left w:val="nil"/>
              <w:bottom w:val="single" w:sz="8" w:space="0" w:color="000000"/>
              <w:right w:val="nil"/>
            </w:tcBorders>
            <w:shd w:val="clear" w:color="auto" w:fill="auto"/>
            <w:vAlign w:val="center"/>
            <w:hideMark/>
          </w:tcPr>
          <w:p w:rsidR="00361970" w:rsidRPr="00361970" w:rsidRDefault="00361970" w:rsidP="00361970">
            <w:pPr>
              <w:jc w:val="center"/>
              <w:rPr>
                <w:rFonts w:eastAsia="Times New Roman" w:cs="Times New Roman"/>
                <w:b/>
                <w:bCs/>
                <w:color w:val="000000"/>
                <w:sz w:val="22"/>
                <w:szCs w:val="22"/>
                <w:lang w:eastAsia="nb-NO"/>
              </w:rPr>
            </w:pPr>
            <w:r w:rsidRPr="00361970">
              <w:rPr>
                <w:rFonts w:eastAsia="Times New Roman" w:cs="Times New Roman"/>
                <w:b/>
                <w:bCs/>
                <w:color w:val="000000"/>
                <w:sz w:val="22"/>
                <w:szCs w:val="22"/>
                <w:lang w:eastAsia="nb-NO"/>
              </w:rPr>
              <w:t>Gammel modell</w:t>
            </w:r>
          </w:p>
        </w:tc>
        <w:tc>
          <w:tcPr>
            <w:tcW w:w="1430" w:type="pct"/>
            <w:tcBorders>
              <w:top w:val="single" w:sz="8" w:space="0" w:color="000000"/>
              <w:left w:val="nil"/>
              <w:bottom w:val="single" w:sz="8" w:space="0" w:color="000000"/>
              <w:right w:val="nil"/>
            </w:tcBorders>
            <w:shd w:val="clear" w:color="auto" w:fill="auto"/>
            <w:vAlign w:val="center"/>
            <w:hideMark/>
          </w:tcPr>
          <w:p w:rsidR="00361970" w:rsidRPr="00361970" w:rsidRDefault="00361970" w:rsidP="00361970">
            <w:pPr>
              <w:jc w:val="center"/>
              <w:rPr>
                <w:rFonts w:eastAsia="Times New Roman" w:cs="Times New Roman"/>
                <w:b/>
                <w:bCs/>
                <w:color w:val="000000"/>
                <w:sz w:val="22"/>
                <w:szCs w:val="22"/>
                <w:lang w:eastAsia="nb-NO"/>
              </w:rPr>
            </w:pPr>
            <w:r w:rsidRPr="00361970">
              <w:rPr>
                <w:rFonts w:eastAsia="Times New Roman" w:cs="Times New Roman"/>
                <w:b/>
                <w:bCs/>
                <w:color w:val="000000"/>
                <w:sz w:val="22"/>
                <w:szCs w:val="22"/>
                <w:lang w:eastAsia="nb-NO"/>
              </w:rPr>
              <w:t>Differanse</w:t>
            </w:r>
          </w:p>
        </w:tc>
      </w:tr>
      <w:tr w:rsidR="00361970" w:rsidRPr="00361970" w:rsidTr="00361970">
        <w:trPr>
          <w:trHeight w:val="390"/>
        </w:trPr>
        <w:tc>
          <w:tcPr>
            <w:tcW w:w="1159" w:type="pct"/>
            <w:tcBorders>
              <w:top w:val="nil"/>
              <w:left w:val="nil"/>
              <w:bottom w:val="nil"/>
              <w:right w:val="nil"/>
            </w:tcBorders>
            <w:shd w:val="clear" w:color="000000" w:fill="CCCCCC"/>
            <w:vAlign w:val="center"/>
            <w:hideMark/>
          </w:tcPr>
          <w:p w:rsidR="00361970" w:rsidRPr="00361970" w:rsidRDefault="00361970" w:rsidP="00361970">
            <w:pPr>
              <w:rPr>
                <w:rFonts w:ascii="Cambria" w:eastAsia="Times New Roman" w:hAnsi="Cambria" w:cs="Times New Roman"/>
                <w:b/>
                <w:bCs/>
                <w:color w:val="000000"/>
                <w:sz w:val="22"/>
                <w:szCs w:val="22"/>
                <w:lang w:eastAsia="nb-NO"/>
              </w:rPr>
            </w:pPr>
            <w:r w:rsidRPr="00361970">
              <w:rPr>
                <w:rFonts w:ascii="Cambria" w:eastAsia="Times New Roman" w:hAnsi="Cambria" w:cs="Times New Roman"/>
                <w:b/>
                <w:bCs/>
                <w:color w:val="000000"/>
                <w:sz w:val="22"/>
                <w:szCs w:val="22"/>
                <w:lang w:eastAsia="nb-NO"/>
              </w:rPr>
              <w:t>ARENA</w:t>
            </w:r>
          </w:p>
        </w:tc>
        <w:tc>
          <w:tcPr>
            <w:tcW w:w="1161"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5 873</w:t>
            </w:r>
          </w:p>
        </w:tc>
        <w:tc>
          <w:tcPr>
            <w:tcW w:w="1250"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8 783</w:t>
            </w:r>
          </w:p>
        </w:tc>
        <w:tc>
          <w:tcPr>
            <w:tcW w:w="1430"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-2 910</w:t>
            </w:r>
          </w:p>
        </w:tc>
      </w:tr>
      <w:tr w:rsidR="00361970" w:rsidRPr="00361970" w:rsidTr="00361970">
        <w:trPr>
          <w:trHeight w:val="390"/>
        </w:trPr>
        <w:tc>
          <w:tcPr>
            <w:tcW w:w="1159" w:type="pct"/>
            <w:tcBorders>
              <w:top w:val="nil"/>
              <w:left w:val="nil"/>
              <w:bottom w:val="nil"/>
              <w:right w:val="nil"/>
            </w:tcBorders>
            <w:shd w:val="clear" w:color="auto" w:fill="auto"/>
            <w:vAlign w:val="center"/>
            <w:hideMark/>
          </w:tcPr>
          <w:p w:rsidR="00361970" w:rsidRPr="00361970" w:rsidRDefault="00361970" w:rsidP="00361970">
            <w:pPr>
              <w:rPr>
                <w:rFonts w:ascii="Cambria" w:eastAsia="Times New Roman" w:hAnsi="Cambria" w:cs="Times New Roman"/>
                <w:b/>
                <w:bCs/>
                <w:color w:val="000000"/>
                <w:sz w:val="22"/>
                <w:szCs w:val="22"/>
                <w:lang w:eastAsia="nb-NO"/>
              </w:rPr>
            </w:pPr>
            <w:r w:rsidRPr="00361970">
              <w:rPr>
                <w:rFonts w:ascii="Cambria" w:eastAsia="Times New Roman" w:hAnsi="Cambria" w:cs="Times New Roman"/>
                <w:b/>
                <w:bCs/>
                <w:color w:val="000000"/>
                <w:sz w:val="22"/>
                <w:szCs w:val="22"/>
                <w:lang w:eastAsia="nb-NO"/>
              </w:rPr>
              <w:t>ISS</w:t>
            </w:r>
          </w:p>
        </w:tc>
        <w:tc>
          <w:tcPr>
            <w:tcW w:w="1161"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56 742</w:t>
            </w:r>
          </w:p>
        </w:tc>
        <w:tc>
          <w:tcPr>
            <w:tcW w:w="1250"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62 761</w:t>
            </w:r>
          </w:p>
        </w:tc>
        <w:tc>
          <w:tcPr>
            <w:tcW w:w="1430"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-6 020</w:t>
            </w:r>
          </w:p>
        </w:tc>
      </w:tr>
      <w:tr w:rsidR="00361970" w:rsidRPr="00361970" w:rsidTr="00361970">
        <w:trPr>
          <w:trHeight w:val="390"/>
        </w:trPr>
        <w:tc>
          <w:tcPr>
            <w:tcW w:w="1159" w:type="pct"/>
            <w:tcBorders>
              <w:top w:val="nil"/>
              <w:left w:val="nil"/>
              <w:bottom w:val="nil"/>
              <w:right w:val="nil"/>
            </w:tcBorders>
            <w:shd w:val="clear" w:color="000000" w:fill="CCCCCC"/>
            <w:vAlign w:val="center"/>
            <w:hideMark/>
          </w:tcPr>
          <w:p w:rsidR="00361970" w:rsidRPr="00361970" w:rsidRDefault="00361970" w:rsidP="00361970">
            <w:pPr>
              <w:rPr>
                <w:rFonts w:ascii="Cambria" w:eastAsia="Times New Roman" w:hAnsi="Cambria" w:cs="Times New Roman"/>
                <w:b/>
                <w:bCs/>
                <w:color w:val="000000"/>
                <w:sz w:val="22"/>
                <w:szCs w:val="22"/>
                <w:lang w:eastAsia="nb-NO"/>
              </w:rPr>
            </w:pPr>
            <w:r w:rsidRPr="00361970">
              <w:rPr>
                <w:rFonts w:ascii="Cambria" w:eastAsia="Times New Roman" w:hAnsi="Cambria" w:cs="Times New Roman"/>
                <w:b/>
                <w:bCs/>
                <w:color w:val="000000"/>
                <w:sz w:val="22"/>
                <w:szCs w:val="22"/>
                <w:lang w:eastAsia="nb-NO"/>
              </w:rPr>
              <w:t>ISV</w:t>
            </w:r>
          </w:p>
        </w:tc>
        <w:tc>
          <w:tcPr>
            <w:tcW w:w="1161"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61 082</w:t>
            </w:r>
          </w:p>
        </w:tc>
        <w:tc>
          <w:tcPr>
            <w:tcW w:w="1250"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58 128</w:t>
            </w:r>
          </w:p>
        </w:tc>
        <w:tc>
          <w:tcPr>
            <w:tcW w:w="1430"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2 954</w:t>
            </w:r>
          </w:p>
        </w:tc>
      </w:tr>
      <w:tr w:rsidR="00361970" w:rsidRPr="00361970" w:rsidTr="00361970">
        <w:trPr>
          <w:trHeight w:val="390"/>
        </w:trPr>
        <w:tc>
          <w:tcPr>
            <w:tcW w:w="1159" w:type="pct"/>
            <w:tcBorders>
              <w:top w:val="nil"/>
              <w:left w:val="nil"/>
              <w:bottom w:val="nil"/>
              <w:right w:val="nil"/>
            </w:tcBorders>
            <w:shd w:val="clear" w:color="auto" w:fill="auto"/>
            <w:vAlign w:val="center"/>
            <w:hideMark/>
          </w:tcPr>
          <w:p w:rsidR="00361970" w:rsidRPr="00361970" w:rsidRDefault="00361970" w:rsidP="00361970">
            <w:pPr>
              <w:rPr>
                <w:rFonts w:ascii="Cambria" w:eastAsia="Times New Roman" w:hAnsi="Cambria" w:cs="Times New Roman"/>
                <w:b/>
                <w:bCs/>
                <w:color w:val="000000"/>
                <w:sz w:val="22"/>
                <w:szCs w:val="22"/>
                <w:lang w:eastAsia="nb-NO"/>
              </w:rPr>
            </w:pPr>
            <w:r w:rsidRPr="00361970">
              <w:rPr>
                <w:rFonts w:ascii="Cambria" w:eastAsia="Times New Roman" w:hAnsi="Cambria" w:cs="Times New Roman"/>
                <w:b/>
                <w:bCs/>
                <w:color w:val="000000"/>
                <w:sz w:val="22"/>
                <w:szCs w:val="22"/>
                <w:lang w:eastAsia="nb-NO"/>
              </w:rPr>
              <w:t>PSI</w:t>
            </w:r>
          </w:p>
        </w:tc>
        <w:tc>
          <w:tcPr>
            <w:tcW w:w="1161"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185 517</w:t>
            </w:r>
          </w:p>
        </w:tc>
        <w:tc>
          <w:tcPr>
            <w:tcW w:w="1250"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167 437</w:t>
            </w:r>
          </w:p>
        </w:tc>
        <w:tc>
          <w:tcPr>
            <w:tcW w:w="1430"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18 081</w:t>
            </w:r>
          </w:p>
        </w:tc>
      </w:tr>
      <w:tr w:rsidR="00361970" w:rsidRPr="00361970" w:rsidTr="00361970">
        <w:trPr>
          <w:trHeight w:val="390"/>
        </w:trPr>
        <w:tc>
          <w:tcPr>
            <w:tcW w:w="1159" w:type="pct"/>
            <w:tcBorders>
              <w:top w:val="nil"/>
              <w:left w:val="nil"/>
              <w:bottom w:val="nil"/>
              <w:right w:val="nil"/>
            </w:tcBorders>
            <w:shd w:val="clear" w:color="000000" w:fill="CCCCCC"/>
            <w:vAlign w:val="center"/>
            <w:hideMark/>
          </w:tcPr>
          <w:p w:rsidR="00361970" w:rsidRPr="00361970" w:rsidRDefault="00361970" w:rsidP="00361970">
            <w:pPr>
              <w:rPr>
                <w:rFonts w:ascii="Cambria" w:eastAsia="Times New Roman" w:hAnsi="Cambria" w:cs="Times New Roman"/>
                <w:b/>
                <w:bCs/>
                <w:color w:val="000000"/>
                <w:sz w:val="22"/>
                <w:szCs w:val="22"/>
                <w:lang w:eastAsia="nb-NO"/>
              </w:rPr>
            </w:pPr>
            <w:r w:rsidRPr="00361970">
              <w:rPr>
                <w:rFonts w:ascii="Cambria" w:eastAsia="Times New Roman" w:hAnsi="Cambria" w:cs="Times New Roman"/>
                <w:b/>
                <w:bCs/>
                <w:color w:val="000000"/>
                <w:sz w:val="22"/>
                <w:szCs w:val="22"/>
                <w:lang w:eastAsia="nb-NO"/>
              </w:rPr>
              <w:t>SAI</w:t>
            </w:r>
          </w:p>
        </w:tc>
        <w:tc>
          <w:tcPr>
            <w:tcW w:w="1161"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25 851</w:t>
            </w:r>
          </w:p>
        </w:tc>
        <w:tc>
          <w:tcPr>
            <w:tcW w:w="1250"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30 161</w:t>
            </w:r>
          </w:p>
        </w:tc>
        <w:tc>
          <w:tcPr>
            <w:tcW w:w="1430" w:type="pct"/>
            <w:tcBorders>
              <w:top w:val="nil"/>
              <w:left w:val="nil"/>
              <w:bottom w:val="nil"/>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-4 310</w:t>
            </w:r>
          </w:p>
        </w:tc>
      </w:tr>
      <w:tr w:rsidR="00361970" w:rsidRPr="00361970" w:rsidTr="00361970">
        <w:trPr>
          <w:trHeight w:val="390"/>
        </w:trPr>
        <w:tc>
          <w:tcPr>
            <w:tcW w:w="1159" w:type="pct"/>
            <w:tcBorders>
              <w:top w:val="nil"/>
              <w:left w:val="nil"/>
              <w:bottom w:val="nil"/>
              <w:right w:val="nil"/>
            </w:tcBorders>
            <w:shd w:val="clear" w:color="auto" w:fill="auto"/>
            <w:vAlign w:val="center"/>
            <w:hideMark/>
          </w:tcPr>
          <w:p w:rsidR="00361970" w:rsidRPr="00361970" w:rsidRDefault="00361970" w:rsidP="00361970">
            <w:pPr>
              <w:rPr>
                <w:rFonts w:ascii="Cambria" w:eastAsia="Times New Roman" w:hAnsi="Cambria" w:cs="Times New Roman"/>
                <w:b/>
                <w:bCs/>
                <w:color w:val="000000"/>
                <w:sz w:val="22"/>
                <w:szCs w:val="22"/>
                <w:lang w:eastAsia="nb-NO"/>
              </w:rPr>
            </w:pPr>
            <w:r w:rsidRPr="00361970">
              <w:rPr>
                <w:rFonts w:ascii="Cambria" w:eastAsia="Times New Roman" w:hAnsi="Cambria" w:cs="Times New Roman"/>
                <w:b/>
                <w:bCs/>
                <w:color w:val="000000"/>
                <w:sz w:val="22"/>
                <w:szCs w:val="22"/>
                <w:lang w:eastAsia="nb-NO"/>
              </w:rPr>
              <w:t>TIK</w:t>
            </w:r>
          </w:p>
        </w:tc>
        <w:tc>
          <w:tcPr>
            <w:tcW w:w="1161"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10 919</w:t>
            </w:r>
          </w:p>
        </w:tc>
        <w:tc>
          <w:tcPr>
            <w:tcW w:w="1250"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14 054</w:t>
            </w:r>
          </w:p>
        </w:tc>
        <w:tc>
          <w:tcPr>
            <w:tcW w:w="1430" w:type="pct"/>
            <w:tcBorders>
              <w:top w:val="nil"/>
              <w:left w:val="nil"/>
              <w:bottom w:val="nil"/>
              <w:right w:val="nil"/>
            </w:tcBorders>
            <w:shd w:val="clear" w:color="auto" w:fill="auto"/>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-3 135</w:t>
            </w:r>
          </w:p>
        </w:tc>
      </w:tr>
      <w:tr w:rsidR="00361970" w:rsidRPr="00361970" w:rsidTr="00361970">
        <w:trPr>
          <w:trHeight w:val="405"/>
        </w:trPr>
        <w:tc>
          <w:tcPr>
            <w:tcW w:w="1159" w:type="pct"/>
            <w:tcBorders>
              <w:top w:val="nil"/>
              <w:left w:val="nil"/>
              <w:bottom w:val="single" w:sz="8" w:space="0" w:color="auto"/>
              <w:right w:val="nil"/>
            </w:tcBorders>
            <w:shd w:val="clear" w:color="000000" w:fill="CCCCCC"/>
            <w:vAlign w:val="center"/>
            <w:hideMark/>
          </w:tcPr>
          <w:p w:rsidR="00361970" w:rsidRPr="00361970" w:rsidRDefault="00361970" w:rsidP="00361970">
            <w:pPr>
              <w:rPr>
                <w:rFonts w:ascii="Cambria" w:eastAsia="Times New Roman" w:hAnsi="Cambria" w:cs="Times New Roman"/>
                <w:b/>
                <w:bCs/>
                <w:color w:val="000000"/>
                <w:sz w:val="22"/>
                <w:szCs w:val="22"/>
                <w:lang w:eastAsia="nb-NO"/>
              </w:rPr>
            </w:pPr>
            <w:r w:rsidRPr="00361970">
              <w:rPr>
                <w:rFonts w:ascii="Cambria" w:eastAsia="Times New Roman" w:hAnsi="Cambria" w:cs="Times New Roman"/>
                <w:b/>
                <w:bCs/>
                <w:color w:val="000000"/>
                <w:sz w:val="22"/>
                <w:szCs w:val="22"/>
                <w:lang w:eastAsia="nb-NO"/>
              </w:rPr>
              <w:t>ØI</w:t>
            </w:r>
          </w:p>
        </w:tc>
        <w:tc>
          <w:tcPr>
            <w:tcW w:w="1161" w:type="pct"/>
            <w:tcBorders>
              <w:top w:val="nil"/>
              <w:left w:val="nil"/>
              <w:bottom w:val="single" w:sz="8" w:space="0" w:color="auto"/>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54 058</w:t>
            </w:r>
          </w:p>
        </w:tc>
        <w:tc>
          <w:tcPr>
            <w:tcW w:w="1250" w:type="pct"/>
            <w:tcBorders>
              <w:top w:val="nil"/>
              <w:left w:val="nil"/>
              <w:bottom w:val="single" w:sz="8" w:space="0" w:color="auto"/>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58 718</w:t>
            </w:r>
          </w:p>
        </w:tc>
        <w:tc>
          <w:tcPr>
            <w:tcW w:w="1430" w:type="pct"/>
            <w:tcBorders>
              <w:top w:val="nil"/>
              <w:left w:val="nil"/>
              <w:bottom w:val="single" w:sz="8" w:space="0" w:color="auto"/>
              <w:right w:val="nil"/>
            </w:tcBorders>
            <w:shd w:val="clear" w:color="000000" w:fill="CCCCCC"/>
            <w:vAlign w:val="center"/>
            <w:hideMark/>
          </w:tcPr>
          <w:p w:rsidR="00361970" w:rsidRPr="00361970" w:rsidRDefault="00361970" w:rsidP="00361970">
            <w:pPr>
              <w:jc w:val="center"/>
              <w:rPr>
                <w:rFonts w:eastAsia="Times New Roman" w:cs="Times New Roman"/>
                <w:color w:val="000000"/>
                <w:lang w:eastAsia="nb-NO"/>
              </w:rPr>
            </w:pPr>
            <w:r w:rsidRPr="00361970">
              <w:rPr>
                <w:rFonts w:eastAsia="Times New Roman" w:cs="Times New Roman"/>
                <w:color w:val="000000"/>
                <w:lang w:eastAsia="nb-NO"/>
              </w:rPr>
              <w:t>-4 660</w:t>
            </w:r>
          </w:p>
        </w:tc>
      </w:tr>
    </w:tbl>
    <w:p w:rsidR="00A632C7" w:rsidRPr="00EC1134" w:rsidRDefault="00A632C7" w:rsidP="00693A55">
      <w:pPr>
        <w:pStyle w:val="BodyText"/>
        <w:keepNext/>
        <w:keepLines/>
        <w:spacing w:line="240" w:lineRule="auto"/>
        <w:rPr>
          <w:sz w:val="18"/>
          <w:lang w:val="nb-NO"/>
        </w:rPr>
      </w:pPr>
      <w:r w:rsidRPr="00EC1134">
        <w:rPr>
          <w:sz w:val="18"/>
          <w:lang w:val="nb-NO"/>
        </w:rPr>
        <w:t>Tilpasningsleddene er beregnet som differansen mellom budsjett for 2018 etter henholdsvis dagens og ny modell.</w:t>
      </w:r>
    </w:p>
    <w:p w:rsidR="00693A55" w:rsidRPr="00EC1134" w:rsidRDefault="00693A55" w:rsidP="00693A55">
      <w:pPr>
        <w:pStyle w:val="BodyText"/>
        <w:keepNext/>
        <w:keepLines/>
        <w:spacing w:line="240" w:lineRule="auto"/>
        <w:rPr>
          <w:sz w:val="18"/>
          <w:lang w:val="nb-NO"/>
        </w:rPr>
      </w:pPr>
    </w:p>
    <w:p w:rsidR="002342F8" w:rsidRPr="00EC1134" w:rsidRDefault="002342F8" w:rsidP="00693A55">
      <w:pPr>
        <w:pStyle w:val="Caption"/>
        <w:keepNext/>
        <w:keepLines/>
        <w:spacing w:line="240" w:lineRule="auto"/>
        <w:rPr>
          <w:lang w:val="nb-NO"/>
        </w:rPr>
      </w:pPr>
      <w:bookmarkStart w:id="20" w:name="_Ref508111491"/>
      <w:r w:rsidRPr="00EC1134">
        <w:rPr>
          <w:lang w:val="nb-NO"/>
        </w:rPr>
        <w:t xml:space="preserve">Tabell </w:t>
      </w:r>
      <w:r w:rsidRPr="00EC1134">
        <w:rPr>
          <w:lang w:val="nb-NO"/>
        </w:rPr>
        <w:fldChar w:fldCharType="begin"/>
      </w:r>
      <w:r w:rsidRPr="00EC1134">
        <w:rPr>
          <w:lang w:val="nb-NO"/>
        </w:rPr>
        <w:instrText xml:space="preserve"> SEQ Tabell \* ARABIC </w:instrText>
      </w:r>
      <w:r w:rsidRPr="00EC1134">
        <w:rPr>
          <w:lang w:val="nb-NO"/>
        </w:rPr>
        <w:fldChar w:fldCharType="separate"/>
      </w:r>
      <w:r w:rsidR="00B759DD">
        <w:rPr>
          <w:noProof/>
          <w:lang w:val="nb-NO"/>
        </w:rPr>
        <w:t>24</w:t>
      </w:r>
      <w:r w:rsidRPr="00EC1134">
        <w:rPr>
          <w:lang w:val="nb-NO"/>
        </w:rPr>
        <w:fldChar w:fldCharType="end"/>
      </w:r>
      <w:bookmarkEnd w:id="20"/>
      <w:r w:rsidRPr="00EC1134">
        <w:rPr>
          <w:lang w:val="nb-NO"/>
        </w:rPr>
        <w:t>: Utvalg</w:t>
      </w:r>
      <w:r w:rsidR="00CD5ACB" w:rsidRPr="00EC1134">
        <w:rPr>
          <w:lang w:val="nb-NO"/>
        </w:rPr>
        <w:t>t</w:t>
      </w:r>
      <w:r w:rsidRPr="00EC1134">
        <w:rPr>
          <w:lang w:val="nb-NO"/>
        </w:rPr>
        <w:t>e øremerkinger som er fjernet i ny modell, tusen kroner</w:t>
      </w:r>
    </w:p>
    <w:tbl>
      <w:tblPr>
        <w:tblW w:w="5381" w:type="pct"/>
        <w:tblLayout w:type="fixed"/>
        <w:tblCellMar>
          <w:left w:w="70" w:type="dxa"/>
          <w:right w:w="70" w:type="dxa"/>
        </w:tblCellMar>
        <w:tblLook w:val="04A0" w:firstRow="1" w:lastRow="0" w:firstColumn="1" w:lastColumn="0" w:noHBand="0" w:noVBand="1"/>
      </w:tblPr>
      <w:tblGrid>
        <w:gridCol w:w="3262"/>
        <w:gridCol w:w="850"/>
        <w:gridCol w:w="709"/>
        <w:gridCol w:w="4110"/>
      </w:tblGrid>
      <w:tr w:rsidR="002342F8" w:rsidRPr="00EC1134" w:rsidTr="00A632C7">
        <w:trPr>
          <w:trHeight w:val="300"/>
        </w:trPr>
        <w:tc>
          <w:tcPr>
            <w:tcW w:w="1826" w:type="pct"/>
            <w:tcBorders>
              <w:top w:val="single" w:sz="4" w:space="0" w:color="000000"/>
              <w:left w:val="nil"/>
              <w:bottom w:val="single" w:sz="4" w:space="0" w:color="000000"/>
              <w:right w:val="nil"/>
            </w:tcBorders>
            <w:shd w:val="clear" w:color="auto" w:fill="auto"/>
            <w:noWrap/>
            <w:vAlign w:val="bottom"/>
            <w:hideMark/>
          </w:tcPr>
          <w:p w:rsidR="002342F8" w:rsidRPr="00EC1134" w:rsidRDefault="002342F8" w:rsidP="00693A55">
            <w:pPr>
              <w:keepNext/>
              <w:keepLines/>
              <w:rPr>
                <w:rFonts w:ascii="Calibri" w:eastAsia="Times New Roman" w:hAnsi="Calibri" w:cs="Times New Roman"/>
                <w:b/>
                <w:bCs/>
                <w:color w:val="000000"/>
                <w:sz w:val="22"/>
                <w:szCs w:val="22"/>
                <w:lang w:eastAsia="nb-NO"/>
              </w:rPr>
            </w:pPr>
          </w:p>
        </w:tc>
        <w:tc>
          <w:tcPr>
            <w:tcW w:w="476" w:type="pct"/>
            <w:tcBorders>
              <w:top w:val="single" w:sz="4" w:space="0" w:color="000000"/>
              <w:left w:val="nil"/>
              <w:bottom w:val="single" w:sz="4" w:space="0" w:color="000000"/>
              <w:right w:val="nil"/>
            </w:tcBorders>
            <w:shd w:val="clear" w:color="auto" w:fill="auto"/>
            <w:noWrap/>
            <w:vAlign w:val="bottom"/>
            <w:hideMark/>
          </w:tcPr>
          <w:p w:rsidR="002342F8" w:rsidRPr="00EC1134" w:rsidRDefault="002342F8" w:rsidP="00693A55">
            <w:pPr>
              <w:keepNext/>
              <w:keepLines/>
              <w:rPr>
                <w:rFonts w:ascii="Calibri" w:eastAsia="Times New Roman" w:hAnsi="Calibri" w:cs="Times New Roman"/>
                <w:b/>
                <w:bCs/>
                <w:color w:val="000000"/>
                <w:sz w:val="22"/>
                <w:szCs w:val="22"/>
                <w:lang w:eastAsia="nb-NO"/>
              </w:rPr>
            </w:pPr>
            <w:r w:rsidRPr="00EC1134">
              <w:rPr>
                <w:rFonts w:ascii="Calibri" w:eastAsia="Times New Roman" w:hAnsi="Calibri" w:cs="Times New Roman"/>
                <w:b/>
                <w:bCs/>
                <w:color w:val="000000"/>
                <w:sz w:val="22"/>
                <w:szCs w:val="22"/>
                <w:lang w:eastAsia="nb-NO"/>
              </w:rPr>
              <w:t>Enhet</w:t>
            </w:r>
          </w:p>
        </w:tc>
        <w:tc>
          <w:tcPr>
            <w:tcW w:w="397" w:type="pct"/>
            <w:tcBorders>
              <w:top w:val="single" w:sz="4" w:space="0" w:color="000000"/>
              <w:left w:val="nil"/>
              <w:bottom w:val="single" w:sz="4" w:space="0" w:color="000000"/>
              <w:right w:val="nil"/>
            </w:tcBorders>
            <w:shd w:val="clear" w:color="auto" w:fill="auto"/>
            <w:noWrap/>
            <w:vAlign w:val="bottom"/>
            <w:hideMark/>
          </w:tcPr>
          <w:p w:rsidR="002342F8" w:rsidRPr="00EC1134" w:rsidRDefault="002342F8" w:rsidP="00693A55">
            <w:pPr>
              <w:keepNext/>
              <w:keepLines/>
              <w:rPr>
                <w:rFonts w:ascii="Calibri" w:eastAsia="Times New Roman" w:hAnsi="Calibri" w:cs="Times New Roman"/>
                <w:b/>
                <w:bCs/>
                <w:color w:val="000000"/>
                <w:sz w:val="22"/>
                <w:szCs w:val="22"/>
                <w:lang w:eastAsia="nb-NO"/>
              </w:rPr>
            </w:pPr>
            <w:r w:rsidRPr="00EC1134">
              <w:rPr>
                <w:rFonts w:ascii="Calibri" w:eastAsia="Times New Roman" w:hAnsi="Calibri" w:cs="Times New Roman"/>
                <w:b/>
                <w:bCs/>
                <w:color w:val="000000"/>
                <w:sz w:val="22"/>
                <w:szCs w:val="22"/>
                <w:lang w:eastAsia="nb-NO"/>
              </w:rPr>
              <w:t>Beløp</w:t>
            </w:r>
          </w:p>
        </w:tc>
        <w:tc>
          <w:tcPr>
            <w:tcW w:w="2301" w:type="pct"/>
            <w:tcBorders>
              <w:top w:val="single" w:sz="4" w:space="0" w:color="000000"/>
              <w:left w:val="nil"/>
              <w:bottom w:val="single" w:sz="4" w:space="0" w:color="000000"/>
              <w:right w:val="nil"/>
            </w:tcBorders>
            <w:shd w:val="clear" w:color="auto" w:fill="auto"/>
            <w:noWrap/>
            <w:vAlign w:val="bottom"/>
            <w:hideMark/>
          </w:tcPr>
          <w:p w:rsidR="002342F8" w:rsidRPr="00EC1134" w:rsidRDefault="002342F8" w:rsidP="00693A55">
            <w:pPr>
              <w:keepNext/>
              <w:keepLines/>
              <w:rPr>
                <w:rFonts w:ascii="Calibri" w:eastAsia="Times New Roman" w:hAnsi="Calibri" w:cs="Times New Roman"/>
                <w:b/>
                <w:bCs/>
                <w:color w:val="000000"/>
                <w:sz w:val="22"/>
                <w:szCs w:val="22"/>
                <w:lang w:eastAsia="nb-NO"/>
              </w:rPr>
            </w:pPr>
            <w:r w:rsidRPr="00EC1134">
              <w:rPr>
                <w:rFonts w:ascii="Calibri" w:eastAsia="Times New Roman" w:hAnsi="Calibri" w:cs="Times New Roman"/>
                <w:b/>
                <w:bCs/>
                <w:color w:val="000000"/>
                <w:sz w:val="22"/>
                <w:szCs w:val="22"/>
                <w:lang w:eastAsia="nb-NO"/>
              </w:rPr>
              <w:t>Kommentar</w:t>
            </w:r>
          </w:p>
        </w:tc>
      </w:tr>
      <w:tr w:rsidR="002342F8" w:rsidRPr="00EC1134" w:rsidTr="00A632C7">
        <w:trPr>
          <w:trHeight w:val="300"/>
        </w:trPr>
        <w:tc>
          <w:tcPr>
            <w:tcW w:w="182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"Ødemarkstillegg"</w:t>
            </w:r>
          </w:p>
        </w:tc>
        <w:tc>
          <w:tcPr>
            <w:tcW w:w="476" w:type="pct"/>
            <w:tcBorders>
              <w:top w:val="nil"/>
              <w:left w:val="nil"/>
              <w:bottom w:val="nil"/>
              <w:right w:val="nil"/>
            </w:tcBorders>
            <w:shd w:val="clear" w:color="D9D9D9" w:fill="D9D9D9"/>
            <w:noWrap/>
            <w:vAlign w:val="center"/>
            <w:hideMark/>
          </w:tcPr>
          <w:p w:rsidR="002342F8" w:rsidRPr="00EC1134" w:rsidRDefault="003139EC"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ARENA</w:t>
            </w:r>
          </w:p>
        </w:tc>
        <w:tc>
          <w:tcPr>
            <w:tcW w:w="397"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250</w:t>
            </w:r>
          </w:p>
        </w:tc>
        <w:tc>
          <w:tcPr>
            <w:tcW w:w="2301" w:type="pct"/>
            <w:tcBorders>
              <w:top w:val="nil"/>
              <w:left w:val="nil"/>
              <w:bottom w:val="nil"/>
              <w:right w:val="nil"/>
            </w:tcBorders>
            <w:shd w:val="clear" w:color="D9D9D9" w:fill="D9D9D9"/>
            <w:noWrap/>
            <w:vAlign w:val="center"/>
            <w:hideMark/>
          </w:tcPr>
          <w:p w:rsidR="002342F8" w:rsidRPr="00EC1134" w:rsidRDefault="003139EC"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Kompensasjon til ARENA</w:t>
            </w:r>
            <w:r w:rsidR="0079072F" w:rsidRPr="00EC1134">
              <w:rPr>
                <w:rFonts w:ascii="Calibri" w:eastAsia="Times New Roman" w:hAnsi="Calibri" w:cs="Times New Roman"/>
                <w:color w:val="000000"/>
                <w:sz w:val="22"/>
                <w:szCs w:val="22"/>
                <w:lang w:eastAsia="nb-NO"/>
              </w:rPr>
              <w:t xml:space="preserve"> i forbindelse med flytting fra ESH til Sognsveien</w:t>
            </w:r>
          </w:p>
        </w:tc>
      </w:tr>
      <w:tr w:rsidR="002342F8" w:rsidRPr="00EC1134" w:rsidTr="00A632C7">
        <w:trPr>
          <w:trHeight w:val="300"/>
        </w:trPr>
        <w:tc>
          <w:tcPr>
            <w:tcW w:w="182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Bidrag til NFR- og EU-potten</w:t>
            </w:r>
          </w:p>
        </w:tc>
        <w:tc>
          <w:tcPr>
            <w:tcW w:w="476" w:type="pct"/>
            <w:tcBorders>
              <w:top w:val="nil"/>
              <w:left w:val="nil"/>
              <w:bottom w:val="nil"/>
              <w:right w:val="nil"/>
            </w:tcBorders>
            <w:shd w:val="clear" w:color="auto" w:fill="auto"/>
            <w:noWrap/>
            <w:vAlign w:val="center"/>
            <w:hideMark/>
          </w:tcPr>
          <w:p w:rsidR="002342F8" w:rsidRPr="00EC1134" w:rsidRDefault="003139EC"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ARENA</w:t>
            </w:r>
          </w:p>
        </w:tc>
        <w:tc>
          <w:tcPr>
            <w:tcW w:w="397"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-1275</w:t>
            </w:r>
          </w:p>
        </w:tc>
        <w:tc>
          <w:tcPr>
            <w:tcW w:w="2301" w:type="pct"/>
            <w:tcBorders>
              <w:top w:val="nil"/>
              <w:left w:val="nil"/>
              <w:bottom w:val="nil"/>
              <w:right w:val="nil"/>
            </w:tcBorders>
            <w:shd w:val="clear" w:color="auto" w:fill="auto"/>
            <w:noWrap/>
            <w:vAlign w:val="center"/>
            <w:hideMark/>
          </w:tcPr>
          <w:p w:rsidR="002342F8" w:rsidRPr="00EC1134" w:rsidRDefault="003139EC"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ARENA</w:t>
            </w:r>
            <w:r w:rsidR="0079072F" w:rsidRPr="00EC1134">
              <w:rPr>
                <w:rFonts w:ascii="Calibri" w:eastAsia="Times New Roman" w:hAnsi="Calibri" w:cs="Times New Roman"/>
                <w:color w:val="000000"/>
                <w:sz w:val="22"/>
                <w:szCs w:val="22"/>
                <w:lang w:eastAsia="nb-NO"/>
              </w:rPr>
              <w:t xml:space="preserve"> ønsket andel av resultatmidler, men siden de ikke var deleier av pot</w:t>
            </w:r>
            <w:r w:rsidRPr="00EC1134">
              <w:rPr>
                <w:rFonts w:ascii="Calibri" w:eastAsia="Times New Roman" w:hAnsi="Calibri" w:cs="Times New Roman"/>
                <w:color w:val="000000"/>
                <w:sz w:val="22"/>
                <w:szCs w:val="22"/>
                <w:lang w:eastAsia="nb-NO"/>
              </w:rPr>
              <w:t>t</w:t>
            </w:r>
            <w:r w:rsidR="0079072F" w:rsidRPr="00EC1134">
              <w:rPr>
                <w:rFonts w:ascii="Calibri" w:eastAsia="Times New Roman" w:hAnsi="Calibri" w:cs="Times New Roman"/>
                <w:color w:val="000000"/>
                <w:sz w:val="22"/>
                <w:szCs w:val="22"/>
                <w:lang w:eastAsia="nb-NO"/>
              </w:rPr>
              <w:t>en som i sin tid ble konvertert til resultatmidler</w:t>
            </w:r>
            <w:r w:rsidRPr="00EC1134">
              <w:rPr>
                <w:rFonts w:ascii="Calibri" w:eastAsia="Times New Roman" w:hAnsi="Calibri" w:cs="Times New Roman"/>
                <w:color w:val="000000"/>
                <w:sz w:val="22"/>
                <w:szCs w:val="22"/>
                <w:lang w:eastAsia="nb-NO"/>
              </w:rPr>
              <w:t>,</w:t>
            </w:r>
            <w:r w:rsidR="0079072F" w:rsidRPr="00EC1134">
              <w:rPr>
                <w:rFonts w:ascii="Calibri" w:eastAsia="Times New Roman" w:hAnsi="Calibri" w:cs="Times New Roman"/>
                <w:color w:val="000000"/>
                <w:sz w:val="22"/>
                <w:szCs w:val="22"/>
                <w:lang w:eastAsia="nb-NO"/>
              </w:rPr>
              <w:t xml:space="preserve"> måtte de bidra med midler t</w:t>
            </w:r>
            <w:r w:rsidRPr="00EC1134">
              <w:rPr>
                <w:rFonts w:ascii="Calibri" w:eastAsia="Times New Roman" w:hAnsi="Calibri" w:cs="Times New Roman"/>
                <w:color w:val="000000"/>
                <w:sz w:val="22"/>
                <w:szCs w:val="22"/>
                <w:lang w:eastAsia="nb-NO"/>
              </w:rPr>
              <w:t>il denne. Deres andel ble satt til</w:t>
            </w:r>
            <w:r w:rsidR="0079072F" w:rsidRPr="00EC1134">
              <w:rPr>
                <w:rFonts w:ascii="Calibri" w:eastAsia="Times New Roman" w:hAnsi="Calibri" w:cs="Times New Roman"/>
                <w:color w:val="000000"/>
                <w:sz w:val="22"/>
                <w:szCs w:val="22"/>
                <w:lang w:eastAsia="nb-NO"/>
              </w:rPr>
              <w:t xml:space="preserve"> en fast sum tilsvarende </w:t>
            </w:r>
            <w:r w:rsidR="005115DD" w:rsidRPr="00EC1134">
              <w:rPr>
                <w:rFonts w:ascii="Calibri" w:eastAsia="Times New Roman" w:hAnsi="Calibri" w:cs="Times New Roman"/>
                <w:color w:val="000000"/>
                <w:sz w:val="22"/>
                <w:szCs w:val="22"/>
                <w:lang w:eastAsia="nb-NO"/>
              </w:rPr>
              <w:t>tidspunkt</w:t>
            </w:r>
            <w:r w:rsidR="0079072F" w:rsidRPr="00EC1134">
              <w:rPr>
                <w:rFonts w:ascii="Calibri" w:eastAsia="Times New Roman" w:hAnsi="Calibri" w:cs="Times New Roman"/>
                <w:color w:val="000000"/>
                <w:sz w:val="22"/>
                <w:szCs w:val="22"/>
                <w:lang w:eastAsia="nb-NO"/>
              </w:rPr>
              <w:t xml:space="preserve"> for </w:t>
            </w:r>
            <w:r w:rsidR="005115DD" w:rsidRPr="00EC1134">
              <w:rPr>
                <w:rFonts w:ascii="Calibri" w:eastAsia="Times New Roman" w:hAnsi="Calibri" w:cs="Times New Roman"/>
                <w:color w:val="000000"/>
                <w:sz w:val="22"/>
                <w:szCs w:val="22"/>
                <w:lang w:eastAsia="nb-NO"/>
              </w:rPr>
              <w:t>iverksetting</w:t>
            </w:r>
            <w:r w:rsidR="0079072F" w:rsidRPr="00EC1134">
              <w:rPr>
                <w:rFonts w:ascii="Calibri" w:eastAsia="Times New Roman" w:hAnsi="Calibri" w:cs="Times New Roman"/>
                <w:color w:val="000000"/>
                <w:sz w:val="22"/>
                <w:szCs w:val="22"/>
                <w:lang w:eastAsia="nb-NO"/>
              </w:rPr>
              <w:t>. Merproduksjon ville da gi merinntekter.</w:t>
            </w:r>
          </w:p>
        </w:tc>
      </w:tr>
      <w:tr w:rsidR="002342F8" w:rsidRPr="00EC1134" w:rsidTr="00A632C7">
        <w:trPr>
          <w:trHeight w:val="300"/>
        </w:trPr>
        <w:tc>
          <w:tcPr>
            <w:tcW w:w="182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Bidrag til publiseringspotten</w:t>
            </w:r>
          </w:p>
        </w:tc>
        <w:tc>
          <w:tcPr>
            <w:tcW w:w="476" w:type="pct"/>
            <w:tcBorders>
              <w:top w:val="nil"/>
              <w:left w:val="nil"/>
              <w:bottom w:val="nil"/>
              <w:right w:val="nil"/>
            </w:tcBorders>
            <w:shd w:val="clear" w:color="D9D9D9" w:fill="D9D9D9"/>
            <w:noWrap/>
            <w:vAlign w:val="center"/>
            <w:hideMark/>
          </w:tcPr>
          <w:p w:rsidR="002342F8" w:rsidRPr="00EC1134" w:rsidRDefault="003139EC"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ARENA</w:t>
            </w:r>
          </w:p>
        </w:tc>
        <w:tc>
          <w:tcPr>
            <w:tcW w:w="397"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-500</w:t>
            </w:r>
          </w:p>
        </w:tc>
        <w:tc>
          <w:tcPr>
            <w:tcW w:w="2301" w:type="pct"/>
            <w:tcBorders>
              <w:top w:val="nil"/>
              <w:left w:val="nil"/>
              <w:bottom w:val="nil"/>
              <w:right w:val="nil"/>
            </w:tcBorders>
            <w:shd w:val="clear" w:color="D9D9D9" w:fill="D9D9D9"/>
            <w:noWrap/>
            <w:vAlign w:val="center"/>
            <w:hideMark/>
          </w:tcPr>
          <w:p w:rsidR="002342F8" w:rsidRPr="00EC1134" w:rsidRDefault="005115DD" w:rsidP="007D2F4D">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Se ove</w:t>
            </w:r>
            <w:r w:rsidR="00A632C7" w:rsidRPr="00EC1134">
              <w:rPr>
                <w:rFonts w:ascii="Calibri" w:eastAsia="Times New Roman" w:hAnsi="Calibri" w:cs="Times New Roman"/>
                <w:color w:val="000000"/>
                <w:sz w:val="22"/>
                <w:szCs w:val="22"/>
                <w:lang w:eastAsia="nb-NO"/>
              </w:rPr>
              <w:t>nfo</w:t>
            </w:r>
            <w:r w:rsidRPr="00EC1134">
              <w:rPr>
                <w:rFonts w:ascii="Calibri" w:eastAsia="Times New Roman" w:hAnsi="Calibri" w:cs="Times New Roman"/>
                <w:color w:val="000000"/>
                <w:sz w:val="22"/>
                <w:szCs w:val="22"/>
                <w:lang w:eastAsia="nb-NO"/>
              </w:rPr>
              <w:t>r</w:t>
            </w:r>
            <w:r w:rsidR="003139EC" w:rsidRPr="00EC1134">
              <w:rPr>
                <w:rFonts w:ascii="Calibri" w:eastAsia="Times New Roman" w:hAnsi="Calibri" w:cs="Times New Roman"/>
                <w:color w:val="000000"/>
                <w:sz w:val="22"/>
                <w:szCs w:val="22"/>
                <w:lang w:eastAsia="nb-NO"/>
              </w:rPr>
              <w:t>.</w:t>
            </w:r>
          </w:p>
        </w:tc>
      </w:tr>
      <w:tr w:rsidR="002342F8" w:rsidRPr="00EC1134" w:rsidTr="00A632C7">
        <w:trPr>
          <w:trHeight w:val="300"/>
        </w:trPr>
        <w:tc>
          <w:tcPr>
            <w:tcW w:w="182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Satsingsmiljøer</w:t>
            </w:r>
          </w:p>
        </w:tc>
        <w:tc>
          <w:tcPr>
            <w:tcW w:w="476" w:type="pct"/>
            <w:tcBorders>
              <w:top w:val="nil"/>
              <w:left w:val="nil"/>
              <w:bottom w:val="nil"/>
              <w:right w:val="nil"/>
            </w:tcBorders>
            <w:shd w:val="clear" w:color="D9D9D9" w:fill="D9D9D9"/>
            <w:noWrap/>
            <w:vAlign w:val="center"/>
            <w:hideMark/>
          </w:tcPr>
          <w:p w:rsidR="002342F8" w:rsidRPr="00EC1134" w:rsidRDefault="003139EC"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ARENA</w:t>
            </w:r>
          </w:p>
        </w:tc>
        <w:tc>
          <w:tcPr>
            <w:tcW w:w="397"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2000</w:t>
            </w:r>
          </w:p>
        </w:tc>
        <w:tc>
          <w:tcPr>
            <w:tcW w:w="2301"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Opprinnelig grunnfinansiering som ARENA fikk beholde. Fra finansieringsmodellen før 200</w:t>
            </w:r>
            <w:r w:rsidR="00D371BC" w:rsidRPr="00EC1134">
              <w:rPr>
                <w:rFonts w:ascii="Calibri" w:eastAsia="Times New Roman" w:hAnsi="Calibri" w:cs="Times New Roman"/>
                <w:color w:val="000000"/>
                <w:sz w:val="22"/>
                <w:szCs w:val="22"/>
                <w:lang w:eastAsia="nb-NO"/>
              </w:rPr>
              <w:t>9</w:t>
            </w:r>
            <w:r w:rsidR="003139EC" w:rsidRPr="00EC1134">
              <w:rPr>
                <w:rFonts w:ascii="Calibri" w:eastAsia="Times New Roman" w:hAnsi="Calibri" w:cs="Times New Roman"/>
                <w:color w:val="000000"/>
                <w:sz w:val="22"/>
                <w:szCs w:val="22"/>
                <w:lang w:eastAsia="nb-NO"/>
              </w:rPr>
              <w:t>.</w:t>
            </w:r>
          </w:p>
        </w:tc>
      </w:tr>
      <w:tr w:rsidR="002342F8" w:rsidRPr="00EC1134" w:rsidTr="00A632C7">
        <w:trPr>
          <w:trHeight w:val="300"/>
        </w:trPr>
        <w:tc>
          <w:tcPr>
            <w:tcW w:w="182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Vitenskapsteorikurs</w:t>
            </w:r>
          </w:p>
        </w:tc>
        <w:tc>
          <w:tcPr>
            <w:tcW w:w="47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PSI</w:t>
            </w:r>
          </w:p>
        </w:tc>
        <w:tc>
          <w:tcPr>
            <w:tcW w:w="397"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503</w:t>
            </w:r>
          </w:p>
        </w:tc>
        <w:tc>
          <w:tcPr>
            <w:tcW w:w="2301"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 xml:space="preserve">Finansiering av et </w:t>
            </w:r>
            <w:r w:rsidR="003139EC" w:rsidRPr="00EC1134">
              <w:rPr>
                <w:rFonts w:ascii="Calibri" w:eastAsia="Times New Roman" w:hAnsi="Calibri" w:cs="Times New Roman"/>
                <w:color w:val="000000"/>
                <w:sz w:val="22"/>
                <w:szCs w:val="22"/>
                <w:lang w:eastAsia="nb-NO"/>
              </w:rPr>
              <w:t>doktorgrads</w:t>
            </w:r>
            <w:r w:rsidRPr="00EC1134">
              <w:rPr>
                <w:rFonts w:ascii="Calibri" w:eastAsia="Times New Roman" w:hAnsi="Calibri" w:cs="Times New Roman"/>
                <w:color w:val="000000"/>
                <w:sz w:val="22"/>
                <w:szCs w:val="22"/>
                <w:lang w:eastAsia="nb-NO"/>
              </w:rPr>
              <w:t>kurs</w:t>
            </w:r>
            <w:r w:rsidR="003139EC" w:rsidRPr="00EC1134">
              <w:rPr>
                <w:rFonts w:ascii="Calibri" w:eastAsia="Times New Roman" w:hAnsi="Calibri" w:cs="Times New Roman"/>
                <w:color w:val="000000"/>
                <w:sz w:val="22"/>
                <w:szCs w:val="22"/>
                <w:lang w:eastAsia="nb-NO"/>
              </w:rPr>
              <w:t>.</w:t>
            </w:r>
          </w:p>
        </w:tc>
      </w:tr>
      <w:tr w:rsidR="002342F8" w:rsidRPr="00EC1134" w:rsidTr="00A632C7">
        <w:trPr>
          <w:trHeight w:val="300"/>
        </w:trPr>
        <w:tc>
          <w:tcPr>
            <w:tcW w:w="182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Ekstra tildelte studieplasser OLA</w:t>
            </w:r>
          </w:p>
        </w:tc>
        <w:tc>
          <w:tcPr>
            <w:tcW w:w="47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ISS</w:t>
            </w:r>
          </w:p>
        </w:tc>
        <w:tc>
          <w:tcPr>
            <w:tcW w:w="397"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51</w:t>
            </w:r>
          </w:p>
        </w:tc>
        <w:tc>
          <w:tcPr>
            <w:tcW w:w="2301"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Øremerket studieplasser</w:t>
            </w:r>
          </w:p>
        </w:tc>
      </w:tr>
      <w:tr w:rsidR="002342F8" w:rsidRPr="00EC1134" w:rsidTr="00A632C7">
        <w:trPr>
          <w:trHeight w:val="300"/>
        </w:trPr>
        <w:tc>
          <w:tcPr>
            <w:tcW w:w="182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Ekstra tildelte studieplasser Master PSI</w:t>
            </w:r>
          </w:p>
        </w:tc>
        <w:tc>
          <w:tcPr>
            <w:tcW w:w="47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PSI</w:t>
            </w:r>
          </w:p>
        </w:tc>
        <w:tc>
          <w:tcPr>
            <w:tcW w:w="397"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51</w:t>
            </w:r>
          </w:p>
        </w:tc>
        <w:tc>
          <w:tcPr>
            <w:tcW w:w="2301"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Øremerket studieplasser</w:t>
            </w:r>
          </w:p>
        </w:tc>
      </w:tr>
      <w:tr w:rsidR="002342F8" w:rsidRPr="00EC1134" w:rsidTr="00A632C7">
        <w:trPr>
          <w:trHeight w:val="300"/>
        </w:trPr>
        <w:tc>
          <w:tcPr>
            <w:tcW w:w="182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IT/AV overføringer til PSI</w:t>
            </w:r>
          </w:p>
        </w:tc>
        <w:tc>
          <w:tcPr>
            <w:tcW w:w="47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PSI</w:t>
            </w:r>
          </w:p>
        </w:tc>
        <w:tc>
          <w:tcPr>
            <w:tcW w:w="397"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700</w:t>
            </w:r>
          </w:p>
        </w:tc>
        <w:tc>
          <w:tcPr>
            <w:tcW w:w="2301" w:type="pct"/>
            <w:tcBorders>
              <w:top w:val="nil"/>
              <w:left w:val="nil"/>
              <w:bottom w:val="nil"/>
              <w:right w:val="nil"/>
            </w:tcBorders>
            <w:shd w:val="clear" w:color="D9D9D9" w:fill="D9D9D9"/>
            <w:noWrap/>
            <w:vAlign w:val="center"/>
            <w:hideMark/>
          </w:tcPr>
          <w:p w:rsidR="002342F8" w:rsidRPr="00EC1134" w:rsidRDefault="003139EC"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NA</w:t>
            </w:r>
          </w:p>
        </w:tc>
      </w:tr>
      <w:tr w:rsidR="002342F8" w:rsidRPr="00EC1134" w:rsidTr="00A632C7">
        <w:trPr>
          <w:trHeight w:val="300"/>
        </w:trPr>
        <w:tc>
          <w:tcPr>
            <w:tcW w:w="182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Lektorprogrammet, lønn fast stilling</w:t>
            </w:r>
          </w:p>
        </w:tc>
        <w:tc>
          <w:tcPr>
            <w:tcW w:w="47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ISS</w:t>
            </w:r>
          </w:p>
        </w:tc>
        <w:tc>
          <w:tcPr>
            <w:tcW w:w="397"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850</w:t>
            </w:r>
          </w:p>
        </w:tc>
        <w:tc>
          <w:tcPr>
            <w:tcW w:w="2301"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Øremerket studieplasser</w:t>
            </w:r>
          </w:p>
        </w:tc>
      </w:tr>
      <w:tr w:rsidR="002342F8" w:rsidRPr="00EC1134" w:rsidTr="00A632C7">
        <w:trPr>
          <w:trHeight w:val="300"/>
        </w:trPr>
        <w:tc>
          <w:tcPr>
            <w:tcW w:w="182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Disiplintillegg</w:t>
            </w:r>
          </w:p>
        </w:tc>
        <w:tc>
          <w:tcPr>
            <w:tcW w:w="47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ISS</w:t>
            </w:r>
          </w:p>
        </w:tc>
        <w:tc>
          <w:tcPr>
            <w:tcW w:w="397"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1550</w:t>
            </w:r>
          </w:p>
        </w:tc>
        <w:tc>
          <w:tcPr>
            <w:tcW w:w="2301"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 xml:space="preserve">Kompensasjon </w:t>
            </w:r>
            <w:r w:rsidR="003139EC" w:rsidRPr="00EC1134">
              <w:rPr>
                <w:rFonts w:ascii="Calibri" w:eastAsia="Times New Roman" w:hAnsi="Calibri" w:cs="Times New Roman"/>
                <w:color w:val="000000"/>
                <w:sz w:val="22"/>
                <w:szCs w:val="22"/>
                <w:lang w:eastAsia="nb-NO"/>
              </w:rPr>
              <w:t>for at</w:t>
            </w:r>
            <w:r w:rsidRPr="00EC1134">
              <w:rPr>
                <w:rFonts w:ascii="Calibri" w:eastAsia="Times New Roman" w:hAnsi="Calibri" w:cs="Times New Roman"/>
                <w:color w:val="000000"/>
                <w:sz w:val="22"/>
                <w:szCs w:val="22"/>
                <w:lang w:eastAsia="nb-NO"/>
              </w:rPr>
              <w:t xml:space="preserve"> ISS består av to ulike fagretninger</w:t>
            </w:r>
          </w:p>
        </w:tc>
      </w:tr>
      <w:tr w:rsidR="002342F8" w:rsidRPr="00EC1134" w:rsidTr="00A632C7">
        <w:trPr>
          <w:trHeight w:val="300"/>
        </w:trPr>
        <w:tc>
          <w:tcPr>
            <w:tcW w:w="182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OLA-programmet</w:t>
            </w:r>
          </w:p>
        </w:tc>
        <w:tc>
          <w:tcPr>
            <w:tcW w:w="476"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ISS</w:t>
            </w:r>
          </w:p>
        </w:tc>
        <w:tc>
          <w:tcPr>
            <w:tcW w:w="397"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1800</w:t>
            </w:r>
          </w:p>
        </w:tc>
        <w:tc>
          <w:tcPr>
            <w:tcW w:w="2301" w:type="pct"/>
            <w:tcBorders>
              <w:top w:val="nil"/>
              <w:left w:val="nil"/>
              <w:bottom w:val="nil"/>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Øremerket studieplasser</w:t>
            </w:r>
            <w:r w:rsidR="00A632C7" w:rsidRPr="00EC1134">
              <w:rPr>
                <w:rFonts w:ascii="Calibri" w:eastAsia="Times New Roman" w:hAnsi="Calibri" w:cs="Times New Roman"/>
                <w:color w:val="000000"/>
                <w:sz w:val="22"/>
                <w:szCs w:val="22"/>
                <w:lang w:eastAsia="nb-NO"/>
              </w:rPr>
              <w:t xml:space="preserve"> (kompensert i ny modell gjennom 10 prosent andel av studieplassinntekter)</w:t>
            </w:r>
          </w:p>
        </w:tc>
      </w:tr>
      <w:tr w:rsidR="002342F8" w:rsidRPr="00EC1134" w:rsidTr="00A632C7">
        <w:trPr>
          <w:trHeight w:val="300"/>
        </w:trPr>
        <w:tc>
          <w:tcPr>
            <w:tcW w:w="182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Ekstra tildelte studieplasser Profesjon PSI</w:t>
            </w:r>
          </w:p>
        </w:tc>
        <w:tc>
          <w:tcPr>
            <w:tcW w:w="476"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PSI</w:t>
            </w:r>
          </w:p>
        </w:tc>
        <w:tc>
          <w:tcPr>
            <w:tcW w:w="397"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1935</w:t>
            </w:r>
          </w:p>
        </w:tc>
        <w:tc>
          <w:tcPr>
            <w:tcW w:w="2301" w:type="pct"/>
            <w:tcBorders>
              <w:top w:val="nil"/>
              <w:left w:val="nil"/>
              <w:bottom w:val="nil"/>
              <w:right w:val="nil"/>
            </w:tcBorders>
            <w:shd w:val="clear" w:color="D9D9D9" w:fill="D9D9D9"/>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Øremerket studieplasser</w:t>
            </w:r>
          </w:p>
        </w:tc>
      </w:tr>
      <w:tr w:rsidR="002342F8" w:rsidRPr="00EC1134" w:rsidTr="00A632C7">
        <w:trPr>
          <w:trHeight w:val="300"/>
        </w:trPr>
        <w:tc>
          <w:tcPr>
            <w:tcW w:w="1826" w:type="pct"/>
            <w:tcBorders>
              <w:top w:val="nil"/>
              <w:left w:val="nil"/>
              <w:bottom w:val="single" w:sz="4" w:space="0" w:color="000000"/>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Ekstra tildelte studieplasser Profesjon i 2012</w:t>
            </w:r>
          </w:p>
        </w:tc>
        <w:tc>
          <w:tcPr>
            <w:tcW w:w="476" w:type="pct"/>
            <w:tcBorders>
              <w:top w:val="nil"/>
              <w:left w:val="nil"/>
              <w:bottom w:val="single" w:sz="4" w:space="0" w:color="000000"/>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PSI</w:t>
            </w:r>
          </w:p>
        </w:tc>
        <w:tc>
          <w:tcPr>
            <w:tcW w:w="397" w:type="pct"/>
            <w:tcBorders>
              <w:top w:val="nil"/>
              <w:left w:val="nil"/>
              <w:bottom w:val="single" w:sz="4" w:space="0" w:color="000000"/>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3120</w:t>
            </w:r>
          </w:p>
        </w:tc>
        <w:tc>
          <w:tcPr>
            <w:tcW w:w="2301" w:type="pct"/>
            <w:tcBorders>
              <w:top w:val="nil"/>
              <w:left w:val="nil"/>
              <w:bottom w:val="single" w:sz="4" w:space="0" w:color="000000"/>
              <w:right w:val="nil"/>
            </w:tcBorders>
            <w:shd w:val="clear" w:color="auto" w:fill="auto"/>
            <w:noWrap/>
            <w:vAlign w:val="center"/>
            <w:hideMark/>
          </w:tcPr>
          <w:p w:rsidR="002342F8" w:rsidRPr="00EC1134" w:rsidRDefault="002342F8" w:rsidP="00693A55">
            <w:pPr>
              <w:keepNext/>
              <w:keepLines/>
              <w:rPr>
                <w:rFonts w:ascii="Calibri" w:eastAsia="Times New Roman" w:hAnsi="Calibri" w:cs="Times New Roman"/>
                <w:color w:val="000000"/>
                <w:sz w:val="22"/>
                <w:szCs w:val="22"/>
                <w:lang w:eastAsia="nb-NO"/>
              </w:rPr>
            </w:pPr>
            <w:r w:rsidRPr="00EC1134">
              <w:rPr>
                <w:rFonts w:ascii="Calibri" w:eastAsia="Times New Roman" w:hAnsi="Calibri" w:cs="Times New Roman"/>
                <w:color w:val="000000"/>
                <w:sz w:val="22"/>
                <w:szCs w:val="22"/>
                <w:lang w:eastAsia="nb-NO"/>
              </w:rPr>
              <w:t>Øremerket studieplasser</w:t>
            </w:r>
          </w:p>
        </w:tc>
      </w:tr>
    </w:tbl>
    <w:p w:rsidR="002342F8" w:rsidRPr="00EC1134" w:rsidRDefault="002342F8" w:rsidP="00FA71A8">
      <w:pPr>
        <w:pStyle w:val="BodyText"/>
        <w:rPr>
          <w:lang w:val="nb-NO" w:eastAsia="en-US"/>
        </w:rPr>
      </w:pPr>
    </w:p>
    <w:sectPr w:rsidR="002342F8" w:rsidRPr="00EC1134" w:rsidSect="00F03B71">
      <w:headerReference w:type="default" r:id="rId12"/>
      <w:type w:val="continuous"/>
      <w:pgSz w:w="11899" w:h="16838"/>
      <w:pgMar w:top="1440" w:right="1800" w:bottom="1440" w:left="1800"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AB" w:rsidRDefault="00F774AB" w:rsidP="0086051A">
      <w:r>
        <w:separator/>
      </w:r>
    </w:p>
  </w:endnote>
  <w:endnote w:type="continuationSeparator" w:id="0">
    <w:p w:rsidR="00F774AB" w:rsidRDefault="00F774AB" w:rsidP="0086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aesto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72" w:rsidRDefault="005F2972">
    <w:pPr>
      <w:pStyle w:val="Footer"/>
      <w:jc w:val="center"/>
    </w:pPr>
    <w:r>
      <w:t>-</w:t>
    </w:r>
    <w:sdt>
      <w:sdtPr>
        <w:id w:val="-1075664358"/>
        <w:docPartObj>
          <w:docPartGallery w:val="Page Numbers (Bottom of Page)"/>
          <w:docPartUnique/>
        </w:docPartObj>
      </w:sdtPr>
      <w:sdtEndPr/>
      <w:sdtContent>
        <w:r>
          <w:fldChar w:fldCharType="begin"/>
        </w:r>
        <w:r>
          <w:instrText xml:space="preserve"> PAGE   \* MERGEFORMAT </w:instrText>
        </w:r>
        <w:r>
          <w:fldChar w:fldCharType="separate"/>
        </w:r>
        <w:r w:rsidR="00355C39">
          <w:rPr>
            <w:noProof/>
          </w:rPr>
          <w:t>2</w:t>
        </w:r>
        <w:r>
          <w:rPr>
            <w:noProof/>
          </w:rPr>
          <w:fldChar w:fldCharType="end"/>
        </w:r>
        <w:r>
          <w:t>-</w:t>
        </w:r>
      </w:sdtContent>
    </w:sdt>
  </w:p>
  <w:p w:rsidR="005F2972" w:rsidRDefault="005F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0427"/>
      <w:docPartObj>
        <w:docPartGallery w:val="Page Numbers (Bottom of Page)"/>
        <w:docPartUnique/>
      </w:docPartObj>
    </w:sdtPr>
    <w:sdtEndPr/>
    <w:sdtContent>
      <w:p w:rsidR="005F2972" w:rsidRDefault="005F2972">
        <w:pPr>
          <w:pStyle w:val="Footer"/>
          <w:jc w:val="center"/>
        </w:pPr>
        <w:r>
          <w:t>-</w:t>
        </w:r>
        <w:r>
          <w:fldChar w:fldCharType="begin"/>
        </w:r>
        <w:r>
          <w:instrText xml:space="preserve"> PAGE   \* MERGEFORMAT </w:instrText>
        </w:r>
        <w:r>
          <w:fldChar w:fldCharType="separate"/>
        </w:r>
        <w:r w:rsidR="00355C39">
          <w:rPr>
            <w:noProof/>
          </w:rPr>
          <w:t>1</w:t>
        </w:r>
        <w:r>
          <w:rPr>
            <w:noProof/>
          </w:rPr>
          <w:fldChar w:fldCharType="end"/>
        </w:r>
        <w:r>
          <w:t>-</w:t>
        </w:r>
      </w:p>
    </w:sdtContent>
  </w:sdt>
  <w:p w:rsidR="005F2972" w:rsidRDefault="005F2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AB" w:rsidRDefault="00F774AB" w:rsidP="0086051A">
      <w:r>
        <w:separator/>
      </w:r>
    </w:p>
  </w:footnote>
  <w:footnote w:type="continuationSeparator" w:id="0">
    <w:p w:rsidR="00F774AB" w:rsidRDefault="00F774AB" w:rsidP="0086051A">
      <w:r>
        <w:continuationSeparator/>
      </w:r>
    </w:p>
  </w:footnote>
  <w:footnote w:id="1">
    <w:p w:rsidR="005F2972" w:rsidRPr="00641486" w:rsidRDefault="005F2972">
      <w:pPr>
        <w:pStyle w:val="FootnoteText"/>
        <w:rPr>
          <w:lang w:val="nb-NO"/>
        </w:rPr>
      </w:pPr>
      <w:r w:rsidRPr="0037596D">
        <w:rPr>
          <w:rStyle w:val="FootnoteReference"/>
        </w:rPr>
        <w:footnoteRef/>
      </w:r>
      <w:r w:rsidRPr="0037596D">
        <w:rPr>
          <w:lang w:val="nb-NO"/>
        </w:rPr>
        <w:t xml:space="preserve"> </w:t>
      </w:r>
      <w:r>
        <w:rPr>
          <w:lang w:val="nb-NO"/>
        </w:rPr>
        <w:t xml:space="preserve">Se </w:t>
      </w:r>
      <w:hyperlink r:id="rId1" w:history="1">
        <w:r w:rsidRPr="0037596D">
          <w:rPr>
            <w:rStyle w:val="Hyperlink"/>
            <w:lang w:val="nb-NO"/>
          </w:rPr>
          <w:t>2012/1729-2 – V-sak 2</w:t>
        </w:r>
      </w:hyperlink>
      <w:r w:rsidRPr="0037596D">
        <w:rPr>
          <w:lang w:val="nb-NO"/>
        </w:rPr>
        <w:t xml:space="preserve">, </w:t>
      </w:r>
      <w:hyperlink r:id="rId2" w:history="1">
        <w:r w:rsidRPr="0037596D">
          <w:rPr>
            <w:rStyle w:val="Hyperlink"/>
            <w:lang w:val="nb-NO"/>
          </w:rPr>
          <w:t>Protokoll fra møtet</w:t>
        </w:r>
      </w:hyperlink>
      <w:r>
        <w:rPr>
          <w:rStyle w:val="Hyperlink"/>
          <w:lang w:val="nb-NO"/>
        </w:rPr>
        <w:t>.</w:t>
      </w:r>
    </w:p>
  </w:footnote>
  <w:footnote w:id="2">
    <w:p w:rsidR="005F2972" w:rsidRPr="004D3481" w:rsidRDefault="005F2972">
      <w:pPr>
        <w:pStyle w:val="FootnoteText"/>
        <w:rPr>
          <w:lang w:val="nb-NO"/>
        </w:rPr>
      </w:pPr>
      <w:r>
        <w:rPr>
          <w:rStyle w:val="FootnoteReference"/>
        </w:rPr>
        <w:footnoteRef/>
      </w:r>
      <w:r w:rsidRPr="004D3481">
        <w:rPr>
          <w:lang w:val="nb-NO"/>
        </w:rPr>
        <w:t xml:space="preserve"> </w:t>
      </w:r>
      <w:r>
        <w:rPr>
          <w:lang w:val="nb-NO"/>
        </w:rPr>
        <w:t xml:space="preserve">Se </w:t>
      </w:r>
      <w:hyperlink r:id="rId3" w:history="1">
        <w:r w:rsidRPr="0037596D">
          <w:rPr>
            <w:rStyle w:val="Hyperlink"/>
            <w:lang w:val="nb-NO"/>
          </w:rPr>
          <w:t>2018/3472</w:t>
        </w:r>
      </w:hyperlink>
      <w:r>
        <w:rPr>
          <w:rStyle w:val="Hyperlink"/>
          <w:lang w:val="nb-NO"/>
        </w:rPr>
        <w:t>.</w:t>
      </w:r>
    </w:p>
  </w:footnote>
  <w:footnote w:id="3">
    <w:p w:rsidR="005F2972" w:rsidRPr="00B43C08" w:rsidRDefault="005F2972">
      <w:pPr>
        <w:pStyle w:val="FootnoteText"/>
        <w:rPr>
          <w:highlight w:val="yellow"/>
          <w:lang w:val="nb-NO"/>
        </w:rPr>
      </w:pPr>
      <w:r>
        <w:rPr>
          <w:rStyle w:val="FootnoteReference"/>
        </w:rPr>
        <w:footnoteRef/>
      </w:r>
      <w:r w:rsidRPr="00495E61">
        <w:rPr>
          <w:lang w:val="nb-NO"/>
        </w:rPr>
        <w:t xml:space="preserve"> </w:t>
      </w:r>
      <w:r>
        <w:rPr>
          <w:lang w:val="nb-NO"/>
        </w:rPr>
        <w:t xml:space="preserve">Se </w:t>
      </w:r>
      <w:hyperlink r:id="rId4" w:history="1">
        <w:r w:rsidRPr="0037596D">
          <w:rPr>
            <w:rStyle w:val="Hyperlink"/>
            <w:lang w:val="nb-NO"/>
          </w:rPr>
          <w:t>Disponeringsskriv 2018 for SV – 2017/1151-41</w:t>
        </w:r>
      </w:hyperlink>
      <w:r w:rsidRPr="0037596D">
        <w:rPr>
          <w:lang w:val="nb-NO"/>
        </w:rPr>
        <w:t xml:space="preserve">, </w:t>
      </w:r>
      <w:hyperlink r:id="rId5" w:history="1">
        <w:r w:rsidRPr="0037596D">
          <w:rPr>
            <w:rStyle w:val="Hyperlink"/>
            <w:lang w:val="nb-NO"/>
          </w:rPr>
          <w:t>Universitetsstyrets notat om fordelingsmodell 2018 – 2017/1151-4</w:t>
        </w:r>
      </w:hyperlink>
      <w:r>
        <w:rPr>
          <w:rStyle w:val="Hyperlink"/>
          <w:lang w:val="nb-NO"/>
        </w:rPr>
        <w:t>.</w:t>
      </w:r>
    </w:p>
  </w:footnote>
  <w:footnote w:id="4">
    <w:p w:rsidR="005F2972" w:rsidRPr="0037596D" w:rsidRDefault="005F2972">
      <w:pPr>
        <w:pStyle w:val="FootnoteText"/>
        <w:rPr>
          <w:lang w:val="nb-NO"/>
        </w:rPr>
      </w:pPr>
      <w:r>
        <w:rPr>
          <w:rStyle w:val="FootnoteReference"/>
        </w:rPr>
        <w:footnoteRef/>
      </w:r>
      <w:r w:rsidRPr="0037596D">
        <w:rPr>
          <w:lang w:val="nb-NO"/>
        </w:rPr>
        <w:t xml:space="preserve"> </w:t>
      </w:r>
      <w:r>
        <w:rPr>
          <w:lang w:val="nb-NO"/>
        </w:rPr>
        <w:t>Fakultetet</w:t>
      </w:r>
      <w:r w:rsidRPr="0037596D">
        <w:rPr>
          <w:lang w:val="nb-NO"/>
        </w:rPr>
        <w:t xml:space="preserve"> mottok 778 000 kr</w:t>
      </w:r>
      <w:r>
        <w:rPr>
          <w:lang w:val="nb-NO"/>
        </w:rPr>
        <w:t>.</w:t>
      </w:r>
      <w:r w:rsidRPr="0037596D">
        <w:rPr>
          <w:lang w:val="nb-NO"/>
        </w:rPr>
        <w:t xml:space="preserve"> </w:t>
      </w:r>
      <w:r>
        <w:rPr>
          <w:lang w:val="nb-NO"/>
        </w:rPr>
        <w:t>fra og med</w:t>
      </w:r>
      <w:r w:rsidRPr="0037596D">
        <w:rPr>
          <w:lang w:val="nb-NO"/>
        </w:rPr>
        <w:t xml:space="preserve"> 2015 til studiekvalitetstiltak som ble fordelt til ISV for å styrke bachelorprogrammet i statsvitenskap</w:t>
      </w:r>
      <w:r>
        <w:rPr>
          <w:lang w:val="nb-NO"/>
        </w:rPr>
        <w:t>.</w:t>
      </w:r>
    </w:p>
  </w:footnote>
  <w:footnote w:id="5">
    <w:p w:rsidR="005F2972" w:rsidRPr="004D3481" w:rsidRDefault="005F2972">
      <w:pPr>
        <w:pStyle w:val="FootnoteText"/>
        <w:rPr>
          <w:lang w:val="nb-NO"/>
        </w:rPr>
      </w:pPr>
      <w:r>
        <w:rPr>
          <w:rStyle w:val="FootnoteReference"/>
        </w:rPr>
        <w:footnoteRef/>
      </w:r>
      <w:r w:rsidRPr="004D3481">
        <w:rPr>
          <w:lang w:val="nb-NO"/>
        </w:rPr>
        <w:t xml:space="preserve"> </w:t>
      </w:r>
      <w:r>
        <w:rPr>
          <w:lang w:val="nb-NO"/>
        </w:rPr>
        <w:t>De sistnevnte var opprinnelige tenkt som evigvarende tilskudd, men er nylig omgjort til tidsbegrensede tilskudd og vil formodentlig etterhvert flyttes til resultater.</w:t>
      </w:r>
    </w:p>
  </w:footnote>
  <w:footnote w:id="6">
    <w:p w:rsidR="005F2972" w:rsidRPr="006E1870" w:rsidRDefault="005F2972">
      <w:pPr>
        <w:pStyle w:val="FootnoteText"/>
        <w:rPr>
          <w:lang w:val="nb-NO"/>
        </w:rPr>
      </w:pPr>
      <w:r>
        <w:rPr>
          <w:rStyle w:val="FootnoteReference"/>
        </w:rPr>
        <w:footnoteRef/>
      </w:r>
      <w:r w:rsidRPr="00495E61">
        <w:rPr>
          <w:lang w:val="nb-NO"/>
        </w:rPr>
        <w:t xml:space="preserve"> </w:t>
      </w:r>
      <w:r>
        <w:rPr>
          <w:lang w:val="nb-NO"/>
        </w:rPr>
        <w:t xml:space="preserve">Se </w:t>
      </w:r>
      <w:hyperlink r:id="rId6" w:history="1">
        <w:r w:rsidRPr="0037596D">
          <w:rPr>
            <w:rStyle w:val="Hyperlink"/>
            <w:lang w:val="nb-NO"/>
          </w:rPr>
          <w:t>2018/3472</w:t>
        </w:r>
      </w:hyperlink>
      <w:r w:rsidRPr="0037596D">
        <w:rPr>
          <w:rStyle w:val="Hyperlink"/>
          <w:lang w:val="nb-NO"/>
        </w:rPr>
        <w:t>.</w:t>
      </w:r>
    </w:p>
  </w:footnote>
  <w:footnote w:id="7">
    <w:p w:rsidR="005F2972" w:rsidRPr="00C323E0" w:rsidRDefault="005F2972">
      <w:pPr>
        <w:pStyle w:val="FootnoteText"/>
      </w:pPr>
      <w:r>
        <w:rPr>
          <w:rStyle w:val="FootnoteReference"/>
        </w:rPr>
        <w:footnoteRef/>
      </w:r>
      <w:r w:rsidRPr="00C5389C">
        <w:rPr>
          <w:lang w:val="nb-NO"/>
        </w:rPr>
        <w:t xml:space="preserve"> </w:t>
      </w:r>
      <w:r>
        <w:rPr>
          <w:lang w:val="nb-NO"/>
        </w:rPr>
        <w:t xml:space="preserve">Kfr. </w:t>
      </w:r>
      <w:hyperlink r:id="rId7" w:history="1">
        <w:r w:rsidRPr="00C323E0">
          <w:rPr>
            <w:rStyle w:val="Hyperlink"/>
          </w:rPr>
          <w:t>https://eph-uio.uhad.no/ephorte/shared/aspx/default/details.aspx?f=ViewJP&amp;JP_ID=403195</w:t>
        </w:r>
      </w:hyperlink>
      <w:r w:rsidRPr="00C323E0">
        <w:t>.</w:t>
      </w:r>
    </w:p>
  </w:footnote>
  <w:footnote w:id="8">
    <w:p w:rsidR="005F2972" w:rsidRPr="00173EA7" w:rsidRDefault="005F2972" w:rsidP="00173EA7">
      <w:pPr>
        <w:pStyle w:val="FootnoteText"/>
        <w:rPr>
          <w:lang w:val="nb-NO"/>
        </w:rPr>
      </w:pPr>
      <w:r>
        <w:rPr>
          <w:rStyle w:val="FootnoteReference"/>
        </w:rPr>
        <w:footnoteRef/>
      </w:r>
      <w:r w:rsidRPr="00173EA7">
        <w:rPr>
          <w:lang w:val="nb-NO"/>
        </w:rPr>
        <w:t xml:space="preserve"> I f</w:t>
      </w:r>
      <w:r>
        <w:rPr>
          <w:lang w:val="nb-NO"/>
        </w:rPr>
        <w:t xml:space="preserve">ølge Kunnskapsdepartementet er </w:t>
      </w:r>
      <w:r w:rsidRPr="00173EA7">
        <w:rPr>
          <w:i/>
          <w:lang w:val="nb-NO"/>
        </w:rPr>
        <w:t>"en studieplass definert som 60 studiepoeng, det vi si at kunnskapsdepartementet forventer en aktivitetsøkning tilsvarende en heltidsekvivalent per tildelt studieplass"</w:t>
      </w:r>
      <w:r>
        <w:rPr>
          <w:lang w:val="nb-NO"/>
        </w:rPr>
        <w:t xml:space="preserve"> (Supplerende tildelingsbrev, revidert nasjonalbudsjett, nye studieplasser 2015). </w:t>
      </w:r>
      <w:r w:rsidRPr="00173EA7">
        <w:rPr>
          <w:lang w:val="nb-NO"/>
        </w:rPr>
        <w:t xml:space="preserve">Antall studieplasser </w:t>
      </w:r>
      <w:r>
        <w:rPr>
          <w:lang w:val="nb-NO"/>
        </w:rPr>
        <w:t xml:space="preserve">ble i 2007 </w:t>
      </w:r>
      <w:r w:rsidRPr="00173EA7">
        <w:rPr>
          <w:lang w:val="nb-NO"/>
        </w:rPr>
        <w:t>estimert av U</w:t>
      </w:r>
      <w:r>
        <w:rPr>
          <w:lang w:val="nb-NO"/>
        </w:rPr>
        <w:t>iO sentralt på samme måte som Kunnskapsdepartementet</w:t>
      </w:r>
      <w:r w:rsidRPr="00173EA7">
        <w:rPr>
          <w:lang w:val="nb-NO"/>
        </w:rPr>
        <w:t xml:space="preserve"> estimerte antall studieplasser for UiO totalt,</w:t>
      </w:r>
      <w:r>
        <w:rPr>
          <w:lang w:val="nb-NO"/>
        </w:rPr>
        <w:t xml:space="preserve"> som</w:t>
      </w:r>
      <w:r w:rsidRPr="00173EA7">
        <w:rPr>
          <w:lang w:val="nb-NO"/>
        </w:rPr>
        <w:t xml:space="preserve"> antall avlagt studiepoeng delt på 60.</w:t>
      </w:r>
    </w:p>
  </w:footnote>
  <w:footnote w:id="9">
    <w:p w:rsidR="005F2972" w:rsidRPr="008702B9" w:rsidRDefault="005F2972">
      <w:pPr>
        <w:pStyle w:val="FootnoteText"/>
        <w:rPr>
          <w:lang w:val="nb-NO"/>
        </w:rPr>
      </w:pPr>
      <w:r w:rsidRPr="00C5389C">
        <w:rPr>
          <w:rStyle w:val="FootnoteReference"/>
        </w:rPr>
        <w:footnoteRef/>
      </w:r>
      <w:r w:rsidRPr="00C5389C">
        <w:rPr>
          <w:lang w:val="nb-NO"/>
        </w:rPr>
        <w:t xml:space="preserve"> I nåværende modell får ISS et øremerket beløp på 0,85 mill. kr. med henvisning til lektorprogrammet, noe som tilsvarer ca. 10 % av de totale studieplassinntektene for lektorprogrammet.</w:t>
      </w:r>
    </w:p>
  </w:footnote>
  <w:footnote w:id="10">
    <w:p w:rsidR="009A5477" w:rsidRPr="008702B9" w:rsidRDefault="009A5477" w:rsidP="009A5477">
      <w:pPr>
        <w:pStyle w:val="FootnoteText"/>
        <w:rPr>
          <w:lang w:val="nb-NO"/>
        </w:rPr>
      </w:pPr>
      <w:r w:rsidRPr="00C5389C">
        <w:rPr>
          <w:rStyle w:val="FootnoteReference"/>
        </w:rPr>
        <w:footnoteRef/>
      </w:r>
      <w:r w:rsidRPr="00C5389C">
        <w:rPr>
          <w:lang w:val="nb-NO"/>
        </w:rPr>
        <w:t xml:space="preserve"> I nåværende modell får ISS et øremerket beløp på 0,85 mill. kr. med henvisning til lektorprogrammet, noe som tilsvarer ca. 10 % av de totale studieplassinntektene for lektorprogrammet.</w:t>
      </w:r>
    </w:p>
  </w:footnote>
  <w:footnote w:id="11">
    <w:p w:rsidR="005F2972" w:rsidRPr="00A632C7" w:rsidRDefault="005F2972">
      <w:pPr>
        <w:pStyle w:val="FootnoteText"/>
        <w:rPr>
          <w:lang w:val="nb-NO"/>
        </w:rPr>
      </w:pPr>
      <w:r>
        <w:rPr>
          <w:rStyle w:val="FootnoteReference"/>
        </w:rPr>
        <w:footnoteRef/>
      </w:r>
      <w:r w:rsidRPr="00A632C7">
        <w:rPr>
          <w:lang w:val="nb-NO"/>
        </w:rPr>
        <w:t xml:space="preserve"> </w:t>
      </w:r>
      <w:r>
        <w:rPr>
          <w:lang w:val="nb-NO"/>
        </w:rPr>
        <w:t xml:space="preserve">Se </w:t>
      </w:r>
      <w:r>
        <w:rPr>
          <w:lang w:val="nb-NO"/>
        </w:rPr>
        <w:fldChar w:fldCharType="begin"/>
      </w:r>
      <w:r>
        <w:rPr>
          <w:lang w:val="nb-NO"/>
        </w:rPr>
        <w:instrText xml:space="preserve"> REF _Ref511392744 \h \*Lower </w:instrText>
      </w:r>
      <w:r>
        <w:rPr>
          <w:lang w:val="nb-NO"/>
        </w:rPr>
      </w:r>
      <w:r>
        <w:rPr>
          <w:lang w:val="nb-NO"/>
        </w:rPr>
        <w:fldChar w:fldCharType="separate"/>
      </w:r>
      <w:r w:rsidRPr="00EC1134">
        <w:rPr>
          <w:lang w:val="nb-NO"/>
        </w:rPr>
        <w:t xml:space="preserve">tabell </w:t>
      </w:r>
      <w:r>
        <w:rPr>
          <w:noProof/>
          <w:lang w:val="nb-NO"/>
        </w:rPr>
        <w:t>23</w:t>
      </w:r>
      <w:r>
        <w:rPr>
          <w:lang w:val="nb-NO"/>
        </w:rPr>
        <w:fldChar w:fldCharType="end"/>
      </w:r>
      <w:r>
        <w:rPr>
          <w:lang w:val="nb-NO"/>
        </w:rPr>
        <w:t xml:space="preserve"> for en tilsvarende oversikt over basistildeling.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72" w:rsidRPr="00417FA9" w:rsidRDefault="005F2972" w:rsidP="004D102E">
    <w:pPr>
      <w:pStyle w:val="Header"/>
      <w:rPr>
        <w:sz w:val="22"/>
        <w:lang w:val="da-DK"/>
      </w:rPr>
    </w:pPr>
    <w:r>
      <w:rPr>
        <w:rFonts w:asciiTheme="majorHAnsi" w:eastAsia="MS Gothic" w:hAnsiTheme="majorHAnsi"/>
        <w:szCs w:val="36"/>
      </w:rPr>
      <w:tab/>
    </w:r>
    <w:r>
      <w:rPr>
        <w:rFonts w:asciiTheme="majorHAnsi" w:eastAsia="MS Gothic" w:hAnsiTheme="majorHAnsi"/>
        <w:szCs w:val="36"/>
      </w:rPr>
      <w:tab/>
    </w:r>
  </w:p>
  <w:p w:rsidR="005F2972" w:rsidRPr="00417FA9" w:rsidRDefault="005F2972" w:rsidP="004D102E">
    <w:pPr>
      <w:pStyle w:val="Header"/>
      <w:tabs>
        <w:tab w:val="clear" w:pos="4153"/>
        <w:tab w:val="clear" w:pos="8306"/>
        <w:tab w:val="right" w:pos="9380"/>
      </w:tabs>
      <w:jc w:val="both"/>
      <w:rPr>
        <w:rFonts w:asciiTheme="majorHAnsi" w:eastAsia="MS Gothic" w:hAnsiTheme="majorHAnsi"/>
        <w:sz w:val="18"/>
        <w:szCs w:val="36"/>
        <w:lang w:val="da-DK"/>
      </w:rPr>
    </w:pPr>
  </w:p>
  <w:p w:rsidR="005F2972" w:rsidRPr="00417FA9" w:rsidRDefault="005F2972">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72" w:rsidRPr="00417FA9" w:rsidRDefault="00355C39" w:rsidP="00F03B71">
    <w:pPr>
      <w:pStyle w:val="Header"/>
      <w:rPr>
        <w:sz w:val="22"/>
        <w:lang w:val="da-DK"/>
      </w:rPr>
    </w:pPr>
    <w:sdt>
      <w:sdtPr>
        <w:rPr>
          <w:lang w:val="da-DK"/>
        </w:rPr>
        <w:id w:val="1140157454"/>
        <w:docPartObj>
          <w:docPartGallery w:val="Watermarks"/>
          <w:docPartUnique/>
        </w:docPartObj>
      </w:sdtPr>
      <w:sdtEndPr/>
      <w:sdtContent>
        <w:r>
          <w:rPr>
            <w:lang w:val="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5F2972" w:rsidRPr="00F03B71">
      <w:rPr>
        <w:noProof/>
        <w:lang w:eastAsia="nb-NO"/>
      </w:rPr>
      <w:drawing>
        <wp:inline distT="0" distB="0" distL="0" distR="0" wp14:anchorId="26BB9C18" wp14:editId="06600071">
          <wp:extent cx="2133600" cy="247650"/>
          <wp:effectExtent l="19050" t="0" r="0" b="0"/>
          <wp:docPr id="1" name="Picture 9" descr="UiO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liten.jpg"/>
                  <pic:cNvPicPr/>
                </pic:nvPicPr>
                <pic:blipFill>
                  <a:blip r:embed="rId1"/>
                  <a:stretch>
                    <a:fillRect/>
                  </a:stretch>
                </pic:blipFill>
                <pic:spPr>
                  <a:xfrm>
                    <a:off x="0" y="0"/>
                    <a:ext cx="2133600" cy="247650"/>
                  </a:xfrm>
                  <a:prstGeom prst="rect">
                    <a:avLst/>
                  </a:prstGeom>
                </pic:spPr>
              </pic:pic>
            </a:graphicData>
          </a:graphic>
        </wp:inline>
      </w:drawing>
    </w:r>
    <w:r w:rsidR="005F2972" w:rsidRPr="00417FA9">
      <w:rPr>
        <w:lang w:val="da-DK"/>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72" w:rsidRDefault="005F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16ABE7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264A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448703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81A525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226723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B4066"/>
    <w:multiLevelType w:val="hybridMultilevel"/>
    <w:tmpl w:val="F656D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AA5808"/>
    <w:multiLevelType w:val="hybridMultilevel"/>
    <w:tmpl w:val="DF2C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1644FE"/>
    <w:multiLevelType w:val="hybridMultilevel"/>
    <w:tmpl w:val="FC889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4D20D5"/>
    <w:multiLevelType w:val="hybridMultilevel"/>
    <w:tmpl w:val="73B456E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1380AE1"/>
    <w:multiLevelType w:val="hybridMultilevel"/>
    <w:tmpl w:val="FE940B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1D2B51"/>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1728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37408B"/>
    <w:multiLevelType w:val="hybridMultilevel"/>
    <w:tmpl w:val="8FD2E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2EC4901"/>
    <w:multiLevelType w:val="hybridMultilevel"/>
    <w:tmpl w:val="D48A6D7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35194AC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733DE1"/>
    <w:multiLevelType w:val="hybridMultilevel"/>
    <w:tmpl w:val="353A3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436DA1"/>
    <w:multiLevelType w:val="hybridMultilevel"/>
    <w:tmpl w:val="8EB66E9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8F65173"/>
    <w:multiLevelType w:val="multilevel"/>
    <w:tmpl w:val="9662B0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A056E1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84412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C941C0"/>
    <w:multiLevelType w:val="hybridMultilevel"/>
    <w:tmpl w:val="E63076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AD30BBA"/>
    <w:multiLevelType w:val="hybridMultilevel"/>
    <w:tmpl w:val="B3705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D2C225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A3104"/>
    <w:multiLevelType w:val="hybridMultilevel"/>
    <w:tmpl w:val="0A662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21D4D6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D1FD4"/>
    <w:multiLevelType w:val="multilevel"/>
    <w:tmpl w:val="0414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D1B6D01"/>
    <w:multiLevelType w:val="hybridMultilevel"/>
    <w:tmpl w:val="F9AE1B2E"/>
    <w:lvl w:ilvl="0" w:tplc="57863E9A">
      <w:start w:val="1"/>
      <w:numFmt w:val="decimal"/>
      <w:pStyle w:val="Tiltak"/>
      <w:lvlText w:val="Tiltak %1."/>
      <w:lvlJc w:val="left"/>
      <w:pPr>
        <w:tabs>
          <w:tab w:val="num" w:pos="964"/>
        </w:tabs>
        <w:ind w:left="964" w:hanging="964"/>
      </w:pPr>
      <w:rPr>
        <w:rFonts w:hint="default"/>
      </w:rPr>
    </w:lvl>
    <w:lvl w:ilvl="1" w:tplc="04090019" w:tentative="1">
      <w:start w:val="1"/>
      <w:numFmt w:val="lowerLetter"/>
      <w:pStyle w:val="Tiltak"/>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116E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CC758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725660"/>
    <w:multiLevelType w:val="hybridMultilevel"/>
    <w:tmpl w:val="D02E1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6"/>
  </w:num>
  <w:num w:numId="4">
    <w:abstractNumId w:val="20"/>
  </w:num>
  <w:num w:numId="5">
    <w:abstractNumId w:val="16"/>
  </w:num>
  <w:num w:numId="6">
    <w:abstractNumId w:val="6"/>
  </w:num>
  <w:num w:numId="7">
    <w:abstractNumId w:val="8"/>
  </w:num>
  <w:num w:numId="8">
    <w:abstractNumId w:val="5"/>
  </w:num>
  <w:num w:numId="9">
    <w:abstractNumId w:val="21"/>
  </w:num>
  <w:num w:numId="10">
    <w:abstractNumId w:val="23"/>
  </w:num>
  <w:num w:numId="11">
    <w:abstractNumId w:val="13"/>
  </w:num>
  <w:num w:numId="12">
    <w:abstractNumId w:val="15"/>
  </w:num>
  <w:num w:numId="13">
    <w:abstractNumId w:val="7"/>
  </w:num>
  <w:num w:numId="14">
    <w:abstractNumId w:val="9"/>
  </w:num>
  <w:num w:numId="15">
    <w:abstractNumId w:val="12"/>
  </w:num>
  <w:num w:numId="16">
    <w:abstractNumId w:val="29"/>
  </w:num>
  <w:num w:numId="17">
    <w:abstractNumId w:val="24"/>
  </w:num>
  <w:num w:numId="18">
    <w:abstractNumId w:val="18"/>
  </w:num>
  <w:num w:numId="19">
    <w:abstractNumId w:val="17"/>
  </w:num>
  <w:num w:numId="20">
    <w:abstractNumId w:val="11"/>
  </w:num>
  <w:num w:numId="21">
    <w:abstractNumId w:val="1"/>
  </w:num>
  <w:num w:numId="22">
    <w:abstractNumId w:val="0"/>
  </w:num>
  <w:num w:numId="23">
    <w:abstractNumId w:val="25"/>
  </w:num>
  <w:num w:numId="24">
    <w:abstractNumId w:val="19"/>
  </w:num>
  <w:num w:numId="25">
    <w:abstractNumId w:val="14"/>
  </w:num>
  <w:num w:numId="26">
    <w:abstractNumId w:val="4"/>
  </w:num>
  <w:num w:numId="27">
    <w:abstractNumId w:val="22"/>
  </w:num>
  <w:num w:numId="28">
    <w:abstractNumId w:val="10"/>
  </w:num>
  <w:num w:numId="29">
    <w:abstractNumId w:val="27"/>
  </w:num>
  <w:num w:numId="3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GrammaticalErrors/>
  <w:revisionView w:inkAnnotation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F0"/>
    <w:rsid w:val="0000003C"/>
    <w:rsid w:val="00003DBB"/>
    <w:rsid w:val="00006875"/>
    <w:rsid w:val="00006AF6"/>
    <w:rsid w:val="00006CDD"/>
    <w:rsid w:val="00012AFD"/>
    <w:rsid w:val="00015BC5"/>
    <w:rsid w:val="00016FD5"/>
    <w:rsid w:val="00017896"/>
    <w:rsid w:val="00017C6F"/>
    <w:rsid w:val="00017D7E"/>
    <w:rsid w:val="0002006C"/>
    <w:rsid w:val="000205F0"/>
    <w:rsid w:val="0002156B"/>
    <w:rsid w:val="0002742D"/>
    <w:rsid w:val="000276F1"/>
    <w:rsid w:val="0003100B"/>
    <w:rsid w:val="00035696"/>
    <w:rsid w:val="000357DC"/>
    <w:rsid w:val="00035A39"/>
    <w:rsid w:val="000366E9"/>
    <w:rsid w:val="00036C7D"/>
    <w:rsid w:val="000516C4"/>
    <w:rsid w:val="00051DC1"/>
    <w:rsid w:val="0005249A"/>
    <w:rsid w:val="000524BF"/>
    <w:rsid w:val="00055698"/>
    <w:rsid w:val="0006421C"/>
    <w:rsid w:val="00064431"/>
    <w:rsid w:val="00065CEB"/>
    <w:rsid w:val="000709E7"/>
    <w:rsid w:val="00070AFF"/>
    <w:rsid w:val="00072FE6"/>
    <w:rsid w:val="00073178"/>
    <w:rsid w:val="00081E5A"/>
    <w:rsid w:val="00086883"/>
    <w:rsid w:val="00090C8A"/>
    <w:rsid w:val="000913DC"/>
    <w:rsid w:val="0009401F"/>
    <w:rsid w:val="00094C4A"/>
    <w:rsid w:val="000A11B2"/>
    <w:rsid w:val="000A1F70"/>
    <w:rsid w:val="000A3A5C"/>
    <w:rsid w:val="000A49A9"/>
    <w:rsid w:val="000A55BD"/>
    <w:rsid w:val="000A79C2"/>
    <w:rsid w:val="000B4885"/>
    <w:rsid w:val="000B5DBA"/>
    <w:rsid w:val="000C24DA"/>
    <w:rsid w:val="000C2FF9"/>
    <w:rsid w:val="000C4088"/>
    <w:rsid w:val="000C6BFB"/>
    <w:rsid w:val="000C79C0"/>
    <w:rsid w:val="000D2729"/>
    <w:rsid w:val="000D3D3C"/>
    <w:rsid w:val="000D69E8"/>
    <w:rsid w:val="000E0077"/>
    <w:rsid w:val="000E2B70"/>
    <w:rsid w:val="000E3F8B"/>
    <w:rsid w:val="000E4FE9"/>
    <w:rsid w:val="000E5A01"/>
    <w:rsid w:val="000E67A1"/>
    <w:rsid w:val="000F0113"/>
    <w:rsid w:val="000F2060"/>
    <w:rsid w:val="000F286E"/>
    <w:rsid w:val="00103808"/>
    <w:rsid w:val="001050D4"/>
    <w:rsid w:val="00111425"/>
    <w:rsid w:val="00111C1A"/>
    <w:rsid w:val="00115755"/>
    <w:rsid w:val="00116319"/>
    <w:rsid w:val="001173B0"/>
    <w:rsid w:val="001179E9"/>
    <w:rsid w:val="00120610"/>
    <w:rsid w:val="001216B1"/>
    <w:rsid w:val="0012371C"/>
    <w:rsid w:val="001239D5"/>
    <w:rsid w:val="00124F83"/>
    <w:rsid w:val="00126186"/>
    <w:rsid w:val="0012621C"/>
    <w:rsid w:val="0012623E"/>
    <w:rsid w:val="0013074E"/>
    <w:rsid w:val="0013079E"/>
    <w:rsid w:val="00132788"/>
    <w:rsid w:val="00132AFA"/>
    <w:rsid w:val="00136D03"/>
    <w:rsid w:val="00142342"/>
    <w:rsid w:val="001432C6"/>
    <w:rsid w:val="001433B9"/>
    <w:rsid w:val="0015220D"/>
    <w:rsid w:val="0015464B"/>
    <w:rsid w:val="00154EEA"/>
    <w:rsid w:val="00157C26"/>
    <w:rsid w:val="00157D08"/>
    <w:rsid w:val="0016020A"/>
    <w:rsid w:val="00162587"/>
    <w:rsid w:val="00162DD4"/>
    <w:rsid w:val="00163F21"/>
    <w:rsid w:val="00171D65"/>
    <w:rsid w:val="00173EA7"/>
    <w:rsid w:val="00174B3F"/>
    <w:rsid w:val="001753EB"/>
    <w:rsid w:val="00177350"/>
    <w:rsid w:val="001776C2"/>
    <w:rsid w:val="001825FE"/>
    <w:rsid w:val="00184276"/>
    <w:rsid w:val="0018690B"/>
    <w:rsid w:val="00186B1F"/>
    <w:rsid w:val="00187BAE"/>
    <w:rsid w:val="00195488"/>
    <w:rsid w:val="00196E6E"/>
    <w:rsid w:val="001B0754"/>
    <w:rsid w:val="001B2765"/>
    <w:rsid w:val="001B2D12"/>
    <w:rsid w:val="001B3D50"/>
    <w:rsid w:val="001B6508"/>
    <w:rsid w:val="001C0881"/>
    <w:rsid w:val="001C3D5C"/>
    <w:rsid w:val="001C56E0"/>
    <w:rsid w:val="001C5700"/>
    <w:rsid w:val="001C6667"/>
    <w:rsid w:val="001C6845"/>
    <w:rsid w:val="001C6AEE"/>
    <w:rsid w:val="001C70B8"/>
    <w:rsid w:val="001D2C82"/>
    <w:rsid w:val="001D3F3E"/>
    <w:rsid w:val="001D6F6F"/>
    <w:rsid w:val="001E490E"/>
    <w:rsid w:val="001F05CA"/>
    <w:rsid w:val="001F093A"/>
    <w:rsid w:val="001F0AEA"/>
    <w:rsid w:val="001F2100"/>
    <w:rsid w:val="001F31E5"/>
    <w:rsid w:val="001F756A"/>
    <w:rsid w:val="00203CAC"/>
    <w:rsid w:val="00210F47"/>
    <w:rsid w:val="002166C5"/>
    <w:rsid w:val="00222273"/>
    <w:rsid w:val="00222A52"/>
    <w:rsid w:val="00224CF3"/>
    <w:rsid w:val="00225674"/>
    <w:rsid w:val="00226643"/>
    <w:rsid w:val="002342F8"/>
    <w:rsid w:val="00235D8D"/>
    <w:rsid w:val="002423E5"/>
    <w:rsid w:val="00246D18"/>
    <w:rsid w:val="00253DC7"/>
    <w:rsid w:val="00254062"/>
    <w:rsid w:val="002574E9"/>
    <w:rsid w:val="00257D84"/>
    <w:rsid w:val="00260D15"/>
    <w:rsid w:val="00262F99"/>
    <w:rsid w:val="00263805"/>
    <w:rsid w:val="00264DEF"/>
    <w:rsid w:val="00265254"/>
    <w:rsid w:val="00266C84"/>
    <w:rsid w:val="00271F34"/>
    <w:rsid w:val="00272014"/>
    <w:rsid w:val="002721CC"/>
    <w:rsid w:val="00272CA8"/>
    <w:rsid w:val="00276967"/>
    <w:rsid w:val="00281F84"/>
    <w:rsid w:val="002855A7"/>
    <w:rsid w:val="00285CC3"/>
    <w:rsid w:val="0028640F"/>
    <w:rsid w:val="002901D0"/>
    <w:rsid w:val="00296606"/>
    <w:rsid w:val="00296E9A"/>
    <w:rsid w:val="00297E76"/>
    <w:rsid w:val="002A011B"/>
    <w:rsid w:val="002A1B79"/>
    <w:rsid w:val="002A3A8A"/>
    <w:rsid w:val="002A75EE"/>
    <w:rsid w:val="002B02F9"/>
    <w:rsid w:val="002B0592"/>
    <w:rsid w:val="002B3576"/>
    <w:rsid w:val="002B6921"/>
    <w:rsid w:val="002C5502"/>
    <w:rsid w:val="002C57B3"/>
    <w:rsid w:val="002C58B9"/>
    <w:rsid w:val="002C66CD"/>
    <w:rsid w:val="002C691A"/>
    <w:rsid w:val="002C6AE7"/>
    <w:rsid w:val="002C6EE1"/>
    <w:rsid w:val="002D089E"/>
    <w:rsid w:val="002D0F49"/>
    <w:rsid w:val="002D2B25"/>
    <w:rsid w:val="002D4C4B"/>
    <w:rsid w:val="002E244B"/>
    <w:rsid w:val="002E2F11"/>
    <w:rsid w:val="002E7B7F"/>
    <w:rsid w:val="002F1BF9"/>
    <w:rsid w:val="002F22F3"/>
    <w:rsid w:val="002F6849"/>
    <w:rsid w:val="00300A34"/>
    <w:rsid w:val="00301D8A"/>
    <w:rsid w:val="00310D9F"/>
    <w:rsid w:val="00313753"/>
    <w:rsid w:val="003139EC"/>
    <w:rsid w:val="00321BDD"/>
    <w:rsid w:val="00323935"/>
    <w:rsid w:val="00323BED"/>
    <w:rsid w:val="003245E3"/>
    <w:rsid w:val="003322AE"/>
    <w:rsid w:val="0033456B"/>
    <w:rsid w:val="0033748F"/>
    <w:rsid w:val="0033752E"/>
    <w:rsid w:val="00340162"/>
    <w:rsid w:val="00340821"/>
    <w:rsid w:val="0034267F"/>
    <w:rsid w:val="00343469"/>
    <w:rsid w:val="00344D5E"/>
    <w:rsid w:val="00345655"/>
    <w:rsid w:val="00346D47"/>
    <w:rsid w:val="003541FE"/>
    <w:rsid w:val="00355C39"/>
    <w:rsid w:val="00360C98"/>
    <w:rsid w:val="00361970"/>
    <w:rsid w:val="0036413D"/>
    <w:rsid w:val="00364379"/>
    <w:rsid w:val="0036541F"/>
    <w:rsid w:val="00370251"/>
    <w:rsid w:val="003738E8"/>
    <w:rsid w:val="00375183"/>
    <w:rsid w:val="0037596D"/>
    <w:rsid w:val="00380577"/>
    <w:rsid w:val="003824BA"/>
    <w:rsid w:val="0038567C"/>
    <w:rsid w:val="00385F41"/>
    <w:rsid w:val="003907F1"/>
    <w:rsid w:val="00391761"/>
    <w:rsid w:val="00391B7D"/>
    <w:rsid w:val="003931E7"/>
    <w:rsid w:val="00393275"/>
    <w:rsid w:val="00396402"/>
    <w:rsid w:val="00396F91"/>
    <w:rsid w:val="003A2CA5"/>
    <w:rsid w:val="003A394E"/>
    <w:rsid w:val="003A51B1"/>
    <w:rsid w:val="003A5A43"/>
    <w:rsid w:val="003A5F26"/>
    <w:rsid w:val="003A68C2"/>
    <w:rsid w:val="003A69B3"/>
    <w:rsid w:val="003A7E52"/>
    <w:rsid w:val="003B0EFA"/>
    <w:rsid w:val="003B11BF"/>
    <w:rsid w:val="003B1B97"/>
    <w:rsid w:val="003B243B"/>
    <w:rsid w:val="003B27C1"/>
    <w:rsid w:val="003B2E13"/>
    <w:rsid w:val="003C1627"/>
    <w:rsid w:val="003C26BF"/>
    <w:rsid w:val="003C2FBA"/>
    <w:rsid w:val="003C4004"/>
    <w:rsid w:val="003C73BD"/>
    <w:rsid w:val="003D0BA5"/>
    <w:rsid w:val="003D3270"/>
    <w:rsid w:val="003D4C7F"/>
    <w:rsid w:val="003D6645"/>
    <w:rsid w:val="003E0FB1"/>
    <w:rsid w:val="003E247E"/>
    <w:rsid w:val="003E2F25"/>
    <w:rsid w:val="003E312B"/>
    <w:rsid w:val="003E34BF"/>
    <w:rsid w:val="003E432D"/>
    <w:rsid w:val="003F4ABB"/>
    <w:rsid w:val="00400389"/>
    <w:rsid w:val="00400793"/>
    <w:rsid w:val="004007AC"/>
    <w:rsid w:val="00404C7B"/>
    <w:rsid w:val="004061CF"/>
    <w:rsid w:val="004107B2"/>
    <w:rsid w:val="00410EEE"/>
    <w:rsid w:val="00413934"/>
    <w:rsid w:val="0041468E"/>
    <w:rsid w:val="00417FA9"/>
    <w:rsid w:val="004244A5"/>
    <w:rsid w:val="00426234"/>
    <w:rsid w:val="00426294"/>
    <w:rsid w:val="004268E4"/>
    <w:rsid w:val="00427FBF"/>
    <w:rsid w:val="0043106A"/>
    <w:rsid w:val="00432F76"/>
    <w:rsid w:val="00433B9C"/>
    <w:rsid w:val="004343E8"/>
    <w:rsid w:val="00434CC4"/>
    <w:rsid w:val="00437EA6"/>
    <w:rsid w:val="00437F0F"/>
    <w:rsid w:val="00441900"/>
    <w:rsid w:val="00441F2F"/>
    <w:rsid w:val="00442239"/>
    <w:rsid w:val="004433A7"/>
    <w:rsid w:val="00444602"/>
    <w:rsid w:val="0044599B"/>
    <w:rsid w:val="00445F81"/>
    <w:rsid w:val="0045098F"/>
    <w:rsid w:val="004515C7"/>
    <w:rsid w:val="00451692"/>
    <w:rsid w:val="0045506C"/>
    <w:rsid w:val="004567E3"/>
    <w:rsid w:val="00464D14"/>
    <w:rsid w:val="00466AA3"/>
    <w:rsid w:val="0047171B"/>
    <w:rsid w:val="004827B5"/>
    <w:rsid w:val="0048388D"/>
    <w:rsid w:val="00483CE9"/>
    <w:rsid w:val="0048608F"/>
    <w:rsid w:val="004917B3"/>
    <w:rsid w:val="00491F15"/>
    <w:rsid w:val="00495E61"/>
    <w:rsid w:val="00495E67"/>
    <w:rsid w:val="0049648D"/>
    <w:rsid w:val="004967D3"/>
    <w:rsid w:val="004A06DD"/>
    <w:rsid w:val="004A3920"/>
    <w:rsid w:val="004A405E"/>
    <w:rsid w:val="004A595A"/>
    <w:rsid w:val="004A628A"/>
    <w:rsid w:val="004A718B"/>
    <w:rsid w:val="004B0C99"/>
    <w:rsid w:val="004B18E7"/>
    <w:rsid w:val="004B28BA"/>
    <w:rsid w:val="004B4779"/>
    <w:rsid w:val="004B56EC"/>
    <w:rsid w:val="004B63C5"/>
    <w:rsid w:val="004B7646"/>
    <w:rsid w:val="004C1F1A"/>
    <w:rsid w:val="004C3C7A"/>
    <w:rsid w:val="004C53F3"/>
    <w:rsid w:val="004C6CFA"/>
    <w:rsid w:val="004C7AFC"/>
    <w:rsid w:val="004D102E"/>
    <w:rsid w:val="004D3481"/>
    <w:rsid w:val="004D362E"/>
    <w:rsid w:val="004D3C3E"/>
    <w:rsid w:val="004D4EB6"/>
    <w:rsid w:val="004D5C5D"/>
    <w:rsid w:val="004E00AB"/>
    <w:rsid w:val="004E1D09"/>
    <w:rsid w:val="004E4B7B"/>
    <w:rsid w:val="004E5714"/>
    <w:rsid w:val="004E66CA"/>
    <w:rsid w:val="004E67EF"/>
    <w:rsid w:val="004F0547"/>
    <w:rsid w:val="004F0AC4"/>
    <w:rsid w:val="004F2AB4"/>
    <w:rsid w:val="004F432E"/>
    <w:rsid w:val="004F6180"/>
    <w:rsid w:val="004F6D3D"/>
    <w:rsid w:val="0050049E"/>
    <w:rsid w:val="00502EB4"/>
    <w:rsid w:val="00503433"/>
    <w:rsid w:val="005038D1"/>
    <w:rsid w:val="005039FA"/>
    <w:rsid w:val="00505CF5"/>
    <w:rsid w:val="00506F29"/>
    <w:rsid w:val="005115DD"/>
    <w:rsid w:val="00515986"/>
    <w:rsid w:val="00521648"/>
    <w:rsid w:val="0052182D"/>
    <w:rsid w:val="0052589B"/>
    <w:rsid w:val="00525902"/>
    <w:rsid w:val="005261B8"/>
    <w:rsid w:val="00527C64"/>
    <w:rsid w:val="00531251"/>
    <w:rsid w:val="00535FA4"/>
    <w:rsid w:val="0053657A"/>
    <w:rsid w:val="005431B7"/>
    <w:rsid w:val="00545D43"/>
    <w:rsid w:val="00547DF6"/>
    <w:rsid w:val="005514EF"/>
    <w:rsid w:val="0055299F"/>
    <w:rsid w:val="00552CA9"/>
    <w:rsid w:val="00555F3B"/>
    <w:rsid w:val="0055673D"/>
    <w:rsid w:val="005612E0"/>
    <w:rsid w:val="00563FB2"/>
    <w:rsid w:val="005640FC"/>
    <w:rsid w:val="00566FE9"/>
    <w:rsid w:val="00567687"/>
    <w:rsid w:val="0057004D"/>
    <w:rsid w:val="00573024"/>
    <w:rsid w:val="00575B98"/>
    <w:rsid w:val="00581D86"/>
    <w:rsid w:val="00582EED"/>
    <w:rsid w:val="00585F23"/>
    <w:rsid w:val="0058702F"/>
    <w:rsid w:val="00587933"/>
    <w:rsid w:val="005910D6"/>
    <w:rsid w:val="005938BF"/>
    <w:rsid w:val="00594503"/>
    <w:rsid w:val="00595821"/>
    <w:rsid w:val="005967EB"/>
    <w:rsid w:val="005A011D"/>
    <w:rsid w:val="005A0B8F"/>
    <w:rsid w:val="005A1EB9"/>
    <w:rsid w:val="005A3297"/>
    <w:rsid w:val="005A348E"/>
    <w:rsid w:val="005A405B"/>
    <w:rsid w:val="005B17BD"/>
    <w:rsid w:val="005B3084"/>
    <w:rsid w:val="005B6208"/>
    <w:rsid w:val="005B6B32"/>
    <w:rsid w:val="005C0974"/>
    <w:rsid w:val="005C0A3E"/>
    <w:rsid w:val="005C1026"/>
    <w:rsid w:val="005C23F6"/>
    <w:rsid w:val="005C347C"/>
    <w:rsid w:val="005C55CC"/>
    <w:rsid w:val="005C6F06"/>
    <w:rsid w:val="005C70A4"/>
    <w:rsid w:val="005C75B0"/>
    <w:rsid w:val="005D1324"/>
    <w:rsid w:val="005D2893"/>
    <w:rsid w:val="005D3403"/>
    <w:rsid w:val="005D5767"/>
    <w:rsid w:val="005E70E3"/>
    <w:rsid w:val="005E73C9"/>
    <w:rsid w:val="005F067E"/>
    <w:rsid w:val="005F1869"/>
    <w:rsid w:val="005F2972"/>
    <w:rsid w:val="005F3A74"/>
    <w:rsid w:val="005F5792"/>
    <w:rsid w:val="005F57FB"/>
    <w:rsid w:val="005F6261"/>
    <w:rsid w:val="00600B1A"/>
    <w:rsid w:val="0060148A"/>
    <w:rsid w:val="00601F2C"/>
    <w:rsid w:val="0060255A"/>
    <w:rsid w:val="00604123"/>
    <w:rsid w:val="00606098"/>
    <w:rsid w:val="00607159"/>
    <w:rsid w:val="00612A43"/>
    <w:rsid w:val="006136E0"/>
    <w:rsid w:val="00615740"/>
    <w:rsid w:val="0061691D"/>
    <w:rsid w:val="00620101"/>
    <w:rsid w:val="006209B2"/>
    <w:rsid w:val="00621B52"/>
    <w:rsid w:val="0062592B"/>
    <w:rsid w:val="00630064"/>
    <w:rsid w:val="00631D2A"/>
    <w:rsid w:val="00633E96"/>
    <w:rsid w:val="00636540"/>
    <w:rsid w:val="006407EA"/>
    <w:rsid w:val="00640B82"/>
    <w:rsid w:val="00641486"/>
    <w:rsid w:val="00642457"/>
    <w:rsid w:val="00650D24"/>
    <w:rsid w:val="0065254C"/>
    <w:rsid w:val="00652CEF"/>
    <w:rsid w:val="006534CC"/>
    <w:rsid w:val="006538CF"/>
    <w:rsid w:val="00656422"/>
    <w:rsid w:val="006571BE"/>
    <w:rsid w:val="006577B3"/>
    <w:rsid w:val="00657AF0"/>
    <w:rsid w:val="006623A6"/>
    <w:rsid w:val="00663FC6"/>
    <w:rsid w:val="006646DE"/>
    <w:rsid w:val="00664958"/>
    <w:rsid w:val="0066551F"/>
    <w:rsid w:val="006672D2"/>
    <w:rsid w:val="00667426"/>
    <w:rsid w:val="00667C93"/>
    <w:rsid w:val="006702DA"/>
    <w:rsid w:val="0067098B"/>
    <w:rsid w:val="0067114A"/>
    <w:rsid w:val="0067314D"/>
    <w:rsid w:val="00674691"/>
    <w:rsid w:val="00677325"/>
    <w:rsid w:val="00681063"/>
    <w:rsid w:val="00682953"/>
    <w:rsid w:val="006833C4"/>
    <w:rsid w:val="006853EB"/>
    <w:rsid w:val="00686064"/>
    <w:rsid w:val="0068664D"/>
    <w:rsid w:val="00686851"/>
    <w:rsid w:val="006912BC"/>
    <w:rsid w:val="006939CB"/>
    <w:rsid w:val="00693A55"/>
    <w:rsid w:val="006956F4"/>
    <w:rsid w:val="00695B35"/>
    <w:rsid w:val="00695DFA"/>
    <w:rsid w:val="006A08EF"/>
    <w:rsid w:val="006A0A10"/>
    <w:rsid w:val="006A0A23"/>
    <w:rsid w:val="006A2211"/>
    <w:rsid w:val="006A3C51"/>
    <w:rsid w:val="006A7181"/>
    <w:rsid w:val="006B26E1"/>
    <w:rsid w:val="006B6FFA"/>
    <w:rsid w:val="006C0D30"/>
    <w:rsid w:val="006C12BF"/>
    <w:rsid w:val="006C4361"/>
    <w:rsid w:val="006C4B61"/>
    <w:rsid w:val="006C5274"/>
    <w:rsid w:val="006C6972"/>
    <w:rsid w:val="006C699A"/>
    <w:rsid w:val="006D03C8"/>
    <w:rsid w:val="006D0CEA"/>
    <w:rsid w:val="006D7624"/>
    <w:rsid w:val="006E1420"/>
    <w:rsid w:val="006E1870"/>
    <w:rsid w:val="006E1D11"/>
    <w:rsid w:val="006E22A7"/>
    <w:rsid w:val="006E3BAF"/>
    <w:rsid w:val="006F2312"/>
    <w:rsid w:val="006F2C83"/>
    <w:rsid w:val="006F4C60"/>
    <w:rsid w:val="0070047B"/>
    <w:rsid w:val="007017EE"/>
    <w:rsid w:val="00702FE4"/>
    <w:rsid w:val="007072E2"/>
    <w:rsid w:val="00711911"/>
    <w:rsid w:val="0072011B"/>
    <w:rsid w:val="00725826"/>
    <w:rsid w:val="00726F1D"/>
    <w:rsid w:val="00727495"/>
    <w:rsid w:val="00735A32"/>
    <w:rsid w:val="007365A3"/>
    <w:rsid w:val="00736D94"/>
    <w:rsid w:val="007402BD"/>
    <w:rsid w:val="00741A0A"/>
    <w:rsid w:val="00744910"/>
    <w:rsid w:val="007463CB"/>
    <w:rsid w:val="00750009"/>
    <w:rsid w:val="00750923"/>
    <w:rsid w:val="0075221B"/>
    <w:rsid w:val="00752523"/>
    <w:rsid w:val="00753465"/>
    <w:rsid w:val="00754CF0"/>
    <w:rsid w:val="007557C4"/>
    <w:rsid w:val="0075700A"/>
    <w:rsid w:val="00762078"/>
    <w:rsid w:val="007661C2"/>
    <w:rsid w:val="00774BE4"/>
    <w:rsid w:val="00776334"/>
    <w:rsid w:val="00777861"/>
    <w:rsid w:val="007801A9"/>
    <w:rsid w:val="007809C0"/>
    <w:rsid w:val="00780C0F"/>
    <w:rsid w:val="007874A9"/>
    <w:rsid w:val="00787D33"/>
    <w:rsid w:val="007903B9"/>
    <w:rsid w:val="0079072F"/>
    <w:rsid w:val="00790A82"/>
    <w:rsid w:val="0079125B"/>
    <w:rsid w:val="00795EB0"/>
    <w:rsid w:val="0079667A"/>
    <w:rsid w:val="007A11E2"/>
    <w:rsid w:val="007A1DC8"/>
    <w:rsid w:val="007A37BB"/>
    <w:rsid w:val="007A4781"/>
    <w:rsid w:val="007B005A"/>
    <w:rsid w:val="007B0FD6"/>
    <w:rsid w:val="007B172F"/>
    <w:rsid w:val="007B1BEB"/>
    <w:rsid w:val="007B3BB8"/>
    <w:rsid w:val="007B4DE3"/>
    <w:rsid w:val="007C0D64"/>
    <w:rsid w:val="007C3983"/>
    <w:rsid w:val="007C3AB4"/>
    <w:rsid w:val="007C4887"/>
    <w:rsid w:val="007C77E6"/>
    <w:rsid w:val="007D2F4D"/>
    <w:rsid w:val="007D5935"/>
    <w:rsid w:val="007D742E"/>
    <w:rsid w:val="007E08B0"/>
    <w:rsid w:val="007E099C"/>
    <w:rsid w:val="007E372D"/>
    <w:rsid w:val="007E3931"/>
    <w:rsid w:val="007E55B1"/>
    <w:rsid w:val="007F0264"/>
    <w:rsid w:val="007F3EB3"/>
    <w:rsid w:val="007F5C12"/>
    <w:rsid w:val="008018A2"/>
    <w:rsid w:val="00801E31"/>
    <w:rsid w:val="0080296A"/>
    <w:rsid w:val="00807590"/>
    <w:rsid w:val="00810268"/>
    <w:rsid w:val="00811150"/>
    <w:rsid w:val="008119B7"/>
    <w:rsid w:val="00812C59"/>
    <w:rsid w:val="00812E3B"/>
    <w:rsid w:val="00816841"/>
    <w:rsid w:val="008222E7"/>
    <w:rsid w:val="008228CF"/>
    <w:rsid w:val="00824DBD"/>
    <w:rsid w:val="00826CD4"/>
    <w:rsid w:val="008305E3"/>
    <w:rsid w:val="00830E87"/>
    <w:rsid w:val="008325E5"/>
    <w:rsid w:val="0083318E"/>
    <w:rsid w:val="00833335"/>
    <w:rsid w:val="00834E9C"/>
    <w:rsid w:val="00842949"/>
    <w:rsid w:val="00842EED"/>
    <w:rsid w:val="00845D7A"/>
    <w:rsid w:val="00855F31"/>
    <w:rsid w:val="0086051A"/>
    <w:rsid w:val="00860DCF"/>
    <w:rsid w:val="00862B60"/>
    <w:rsid w:val="00866B4A"/>
    <w:rsid w:val="008702B9"/>
    <w:rsid w:val="0087165F"/>
    <w:rsid w:val="0087260C"/>
    <w:rsid w:val="00873D9B"/>
    <w:rsid w:val="0087548A"/>
    <w:rsid w:val="0087799D"/>
    <w:rsid w:val="0088477E"/>
    <w:rsid w:val="008848C4"/>
    <w:rsid w:val="00884FAC"/>
    <w:rsid w:val="008879B0"/>
    <w:rsid w:val="00891924"/>
    <w:rsid w:val="00892320"/>
    <w:rsid w:val="008926AD"/>
    <w:rsid w:val="00892DEC"/>
    <w:rsid w:val="00894831"/>
    <w:rsid w:val="008952A7"/>
    <w:rsid w:val="008968CF"/>
    <w:rsid w:val="008A2230"/>
    <w:rsid w:val="008A3EE4"/>
    <w:rsid w:val="008B09AA"/>
    <w:rsid w:val="008B130F"/>
    <w:rsid w:val="008B7A88"/>
    <w:rsid w:val="008C4191"/>
    <w:rsid w:val="008C48FB"/>
    <w:rsid w:val="008C4FFA"/>
    <w:rsid w:val="008C64AC"/>
    <w:rsid w:val="008D257E"/>
    <w:rsid w:val="008D3F26"/>
    <w:rsid w:val="008D66C4"/>
    <w:rsid w:val="008D6D0A"/>
    <w:rsid w:val="008E0459"/>
    <w:rsid w:val="008E1468"/>
    <w:rsid w:val="008E2F75"/>
    <w:rsid w:val="008E3980"/>
    <w:rsid w:val="008E5ED4"/>
    <w:rsid w:val="008F0704"/>
    <w:rsid w:val="008F101F"/>
    <w:rsid w:val="009002E6"/>
    <w:rsid w:val="00900B4F"/>
    <w:rsid w:val="00901951"/>
    <w:rsid w:val="00901F6D"/>
    <w:rsid w:val="009020E5"/>
    <w:rsid w:val="009024C5"/>
    <w:rsid w:val="0091088F"/>
    <w:rsid w:val="00912D21"/>
    <w:rsid w:val="009202C8"/>
    <w:rsid w:val="00920746"/>
    <w:rsid w:val="00921324"/>
    <w:rsid w:val="00921395"/>
    <w:rsid w:val="009221E8"/>
    <w:rsid w:val="00923AA0"/>
    <w:rsid w:val="0093492B"/>
    <w:rsid w:val="00937ACF"/>
    <w:rsid w:val="0094204D"/>
    <w:rsid w:val="00945BD9"/>
    <w:rsid w:val="00946317"/>
    <w:rsid w:val="0094658A"/>
    <w:rsid w:val="0094677D"/>
    <w:rsid w:val="009473AE"/>
    <w:rsid w:val="009521FB"/>
    <w:rsid w:val="00952391"/>
    <w:rsid w:val="009525A0"/>
    <w:rsid w:val="009536B5"/>
    <w:rsid w:val="00953863"/>
    <w:rsid w:val="0095616B"/>
    <w:rsid w:val="00956614"/>
    <w:rsid w:val="009570D5"/>
    <w:rsid w:val="009605F6"/>
    <w:rsid w:val="00961649"/>
    <w:rsid w:val="009618D6"/>
    <w:rsid w:val="00962C8C"/>
    <w:rsid w:val="0096402C"/>
    <w:rsid w:val="00965EDD"/>
    <w:rsid w:val="009705F1"/>
    <w:rsid w:val="0097118B"/>
    <w:rsid w:val="00972474"/>
    <w:rsid w:val="00975D0A"/>
    <w:rsid w:val="0097608F"/>
    <w:rsid w:val="00977A0E"/>
    <w:rsid w:val="00980F1B"/>
    <w:rsid w:val="009813E8"/>
    <w:rsid w:val="00987971"/>
    <w:rsid w:val="00991E5A"/>
    <w:rsid w:val="00994C4D"/>
    <w:rsid w:val="00994DE8"/>
    <w:rsid w:val="0099761E"/>
    <w:rsid w:val="009A09E3"/>
    <w:rsid w:val="009A252A"/>
    <w:rsid w:val="009A5477"/>
    <w:rsid w:val="009A6033"/>
    <w:rsid w:val="009A720B"/>
    <w:rsid w:val="009B01C4"/>
    <w:rsid w:val="009B0A53"/>
    <w:rsid w:val="009B2982"/>
    <w:rsid w:val="009B5C3D"/>
    <w:rsid w:val="009B654D"/>
    <w:rsid w:val="009B6646"/>
    <w:rsid w:val="009C1A34"/>
    <w:rsid w:val="009C4483"/>
    <w:rsid w:val="009C5AA2"/>
    <w:rsid w:val="009C6034"/>
    <w:rsid w:val="009D0A4A"/>
    <w:rsid w:val="009D178A"/>
    <w:rsid w:val="009D3C7A"/>
    <w:rsid w:val="009D4426"/>
    <w:rsid w:val="009E0CF7"/>
    <w:rsid w:val="009E5F07"/>
    <w:rsid w:val="009F17E1"/>
    <w:rsid w:val="009F2908"/>
    <w:rsid w:val="009F7C65"/>
    <w:rsid w:val="00A01C23"/>
    <w:rsid w:val="00A02093"/>
    <w:rsid w:val="00A022D0"/>
    <w:rsid w:val="00A03358"/>
    <w:rsid w:val="00A039FF"/>
    <w:rsid w:val="00A04E0A"/>
    <w:rsid w:val="00A06303"/>
    <w:rsid w:val="00A10C3B"/>
    <w:rsid w:val="00A110DC"/>
    <w:rsid w:val="00A13BDB"/>
    <w:rsid w:val="00A1680B"/>
    <w:rsid w:val="00A21B68"/>
    <w:rsid w:val="00A22758"/>
    <w:rsid w:val="00A2296B"/>
    <w:rsid w:val="00A22C02"/>
    <w:rsid w:val="00A251B9"/>
    <w:rsid w:val="00A262F8"/>
    <w:rsid w:val="00A3048D"/>
    <w:rsid w:val="00A31F1D"/>
    <w:rsid w:val="00A33576"/>
    <w:rsid w:val="00A35212"/>
    <w:rsid w:val="00A40C4B"/>
    <w:rsid w:val="00A45CC7"/>
    <w:rsid w:val="00A47D78"/>
    <w:rsid w:val="00A538E6"/>
    <w:rsid w:val="00A574D4"/>
    <w:rsid w:val="00A6031A"/>
    <w:rsid w:val="00A612A0"/>
    <w:rsid w:val="00A632C7"/>
    <w:rsid w:val="00A641A9"/>
    <w:rsid w:val="00A65D23"/>
    <w:rsid w:val="00A66013"/>
    <w:rsid w:val="00A67096"/>
    <w:rsid w:val="00A67181"/>
    <w:rsid w:val="00A70652"/>
    <w:rsid w:val="00A74499"/>
    <w:rsid w:val="00A744A4"/>
    <w:rsid w:val="00A77A56"/>
    <w:rsid w:val="00A813D8"/>
    <w:rsid w:val="00A81723"/>
    <w:rsid w:val="00A854EE"/>
    <w:rsid w:val="00A90B13"/>
    <w:rsid w:val="00A92875"/>
    <w:rsid w:val="00A93659"/>
    <w:rsid w:val="00A94928"/>
    <w:rsid w:val="00A97546"/>
    <w:rsid w:val="00AA0BE2"/>
    <w:rsid w:val="00AA0D8C"/>
    <w:rsid w:val="00AA1B71"/>
    <w:rsid w:val="00AA5B1D"/>
    <w:rsid w:val="00AB34C1"/>
    <w:rsid w:val="00AB64F6"/>
    <w:rsid w:val="00AC0AE8"/>
    <w:rsid w:val="00AC111C"/>
    <w:rsid w:val="00AC2305"/>
    <w:rsid w:val="00AC35B9"/>
    <w:rsid w:val="00AC4EAF"/>
    <w:rsid w:val="00AC5CE1"/>
    <w:rsid w:val="00AC78A5"/>
    <w:rsid w:val="00AD000E"/>
    <w:rsid w:val="00AD0DBF"/>
    <w:rsid w:val="00AD25A9"/>
    <w:rsid w:val="00AD4EC6"/>
    <w:rsid w:val="00AD51A2"/>
    <w:rsid w:val="00AD5B01"/>
    <w:rsid w:val="00AD73D1"/>
    <w:rsid w:val="00AD7A7B"/>
    <w:rsid w:val="00AE047F"/>
    <w:rsid w:val="00AE2122"/>
    <w:rsid w:val="00AF07D2"/>
    <w:rsid w:val="00AF589A"/>
    <w:rsid w:val="00B0784D"/>
    <w:rsid w:val="00B07EF7"/>
    <w:rsid w:val="00B10A3D"/>
    <w:rsid w:val="00B13BB5"/>
    <w:rsid w:val="00B15D45"/>
    <w:rsid w:val="00B20BBF"/>
    <w:rsid w:val="00B211C1"/>
    <w:rsid w:val="00B2208D"/>
    <w:rsid w:val="00B27AB0"/>
    <w:rsid w:val="00B30AC7"/>
    <w:rsid w:val="00B31D78"/>
    <w:rsid w:val="00B327D8"/>
    <w:rsid w:val="00B3297D"/>
    <w:rsid w:val="00B33702"/>
    <w:rsid w:val="00B33DBE"/>
    <w:rsid w:val="00B40B9F"/>
    <w:rsid w:val="00B41BE5"/>
    <w:rsid w:val="00B43A86"/>
    <w:rsid w:val="00B43C08"/>
    <w:rsid w:val="00B50020"/>
    <w:rsid w:val="00B51DF9"/>
    <w:rsid w:val="00B5233D"/>
    <w:rsid w:val="00B533DA"/>
    <w:rsid w:val="00B53D2E"/>
    <w:rsid w:val="00B53E63"/>
    <w:rsid w:val="00B574CA"/>
    <w:rsid w:val="00B61C37"/>
    <w:rsid w:val="00B624B9"/>
    <w:rsid w:val="00B63103"/>
    <w:rsid w:val="00B64C8D"/>
    <w:rsid w:val="00B72703"/>
    <w:rsid w:val="00B759DD"/>
    <w:rsid w:val="00B7732F"/>
    <w:rsid w:val="00B83356"/>
    <w:rsid w:val="00B83E5B"/>
    <w:rsid w:val="00B86491"/>
    <w:rsid w:val="00B86632"/>
    <w:rsid w:val="00B86F06"/>
    <w:rsid w:val="00B93065"/>
    <w:rsid w:val="00B93072"/>
    <w:rsid w:val="00B93B05"/>
    <w:rsid w:val="00B94CC7"/>
    <w:rsid w:val="00B965BC"/>
    <w:rsid w:val="00BA0449"/>
    <w:rsid w:val="00BA2936"/>
    <w:rsid w:val="00BA39BF"/>
    <w:rsid w:val="00BA4097"/>
    <w:rsid w:val="00BA57A1"/>
    <w:rsid w:val="00BA740F"/>
    <w:rsid w:val="00BB3B4D"/>
    <w:rsid w:val="00BB4331"/>
    <w:rsid w:val="00BC0810"/>
    <w:rsid w:val="00BC226E"/>
    <w:rsid w:val="00BC56AC"/>
    <w:rsid w:val="00BC5A5D"/>
    <w:rsid w:val="00BC674C"/>
    <w:rsid w:val="00BC6C17"/>
    <w:rsid w:val="00BD0830"/>
    <w:rsid w:val="00BD4A79"/>
    <w:rsid w:val="00BD5736"/>
    <w:rsid w:val="00BE0609"/>
    <w:rsid w:val="00BE17C7"/>
    <w:rsid w:val="00BE18C8"/>
    <w:rsid w:val="00BE2740"/>
    <w:rsid w:val="00BE5FF2"/>
    <w:rsid w:val="00BE7762"/>
    <w:rsid w:val="00BF2C07"/>
    <w:rsid w:val="00C0064B"/>
    <w:rsid w:val="00C01F06"/>
    <w:rsid w:val="00C06014"/>
    <w:rsid w:val="00C06A85"/>
    <w:rsid w:val="00C11F89"/>
    <w:rsid w:val="00C122AA"/>
    <w:rsid w:val="00C125D0"/>
    <w:rsid w:val="00C173CE"/>
    <w:rsid w:val="00C20888"/>
    <w:rsid w:val="00C2192F"/>
    <w:rsid w:val="00C22DCF"/>
    <w:rsid w:val="00C31C84"/>
    <w:rsid w:val="00C323E0"/>
    <w:rsid w:val="00C341F0"/>
    <w:rsid w:val="00C34269"/>
    <w:rsid w:val="00C41A24"/>
    <w:rsid w:val="00C433D4"/>
    <w:rsid w:val="00C44200"/>
    <w:rsid w:val="00C4482B"/>
    <w:rsid w:val="00C44CAD"/>
    <w:rsid w:val="00C4505B"/>
    <w:rsid w:val="00C457D7"/>
    <w:rsid w:val="00C51F18"/>
    <w:rsid w:val="00C52903"/>
    <w:rsid w:val="00C5322D"/>
    <w:rsid w:val="00C53245"/>
    <w:rsid w:val="00C5389C"/>
    <w:rsid w:val="00C55137"/>
    <w:rsid w:val="00C5671E"/>
    <w:rsid w:val="00C57493"/>
    <w:rsid w:val="00C61204"/>
    <w:rsid w:val="00C63F7E"/>
    <w:rsid w:val="00C65362"/>
    <w:rsid w:val="00C655E8"/>
    <w:rsid w:val="00C67593"/>
    <w:rsid w:val="00C70FC2"/>
    <w:rsid w:val="00C71FAE"/>
    <w:rsid w:val="00C735D0"/>
    <w:rsid w:val="00C73B4C"/>
    <w:rsid w:val="00C73EC7"/>
    <w:rsid w:val="00C740DC"/>
    <w:rsid w:val="00C825C3"/>
    <w:rsid w:val="00C908AE"/>
    <w:rsid w:val="00C92E13"/>
    <w:rsid w:val="00C93647"/>
    <w:rsid w:val="00C966CA"/>
    <w:rsid w:val="00CA17CE"/>
    <w:rsid w:val="00CA188B"/>
    <w:rsid w:val="00CA41C3"/>
    <w:rsid w:val="00CA449A"/>
    <w:rsid w:val="00CA44DF"/>
    <w:rsid w:val="00CA5950"/>
    <w:rsid w:val="00CA61D9"/>
    <w:rsid w:val="00CB1666"/>
    <w:rsid w:val="00CB31CE"/>
    <w:rsid w:val="00CB3AD7"/>
    <w:rsid w:val="00CB4646"/>
    <w:rsid w:val="00CB534C"/>
    <w:rsid w:val="00CB6316"/>
    <w:rsid w:val="00CB66AF"/>
    <w:rsid w:val="00CC1A19"/>
    <w:rsid w:val="00CC2580"/>
    <w:rsid w:val="00CC7FC5"/>
    <w:rsid w:val="00CD5953"/>
    <w:rsid w:val="00CD5ACB"/>
    <w:rsid w:val="00CE1050"/>
    <w:rsid w:val="00CE1495"/>
    <w:rsid w:val="00CE65D1"/>
    <w:rsid w:val="00CE7462"/>
    <w:rsid w:val="00CF2820"/>
    <w:rsid w:val="00CF49C5"/>
    <w:rsid w:val="00CF5617"/>
    <w:rsid w:val="00CF5671"/>
    <w:rsid w:val="00CF5F49"/>
    <w:rsid w:val="00CF60AB"/>
    <w:rsid w:val="00CF754D"/>
    <w:rsid w:val="00D1115C"/>
    <w:rsid w:val="00D11C0D"/>
    <w:rsid w:val="00D13DED"/>
    <w:rsid w:val="00D16013"/>
    <w:rsid w:val="00D16C3B"/>
    <w:rsid w:val="00D20CBF"/>
    <w:rsid w:val="00D2122E"/>
    <w:rsid w:val="00D21BD3"/>
    <w:rsid w:val="00D24C61"/>
    <w:rsid w:val="00D26916"/>
    <w:rsid w:val="00D31D81"/>
    <w:rsid w:val="00D3299C"/>
    <w:rsid w:val="00D35050"/>
    <w:rsid w:val="00D362AD"/>
    <w:rsid w:val="00D371BC"/>
    <w:rsid w:val="00D37A92"/>
    <w:rsid w:val="00D52029"/>
    <w:rsid w:val="00D53C3A"/>
    <w:rsid w:val="00D54B7D"/>
    <w:rsid w:val="00D63C40"/>
    <w:rsid w:val="00D6665E"/>
    <w:rsid w:val="00D66A86"/>
    <w:rsid w:val="00D670F4"/>
    <w:rsid w:val="00D70CA6"/>
    <w:rsid w:val="00D747CF"/>
    <w:rsid w:val="00D76312"/>
    <w:rsid w:val="00D7677F"/>
    <w:rsid w:val="00D768CF"/>
    <w:rsid w:val="00D77D60"/>
    <w:rsid w:val="00D850A6"/>
    <w:rsid w:val="00D85387"/>
    <w:rsid w:val="00D86823"/>
    <w:rsid w:val="00D87FB9"/>
    <w:rsid w:val="00D908CF"/>
    <w:rsid w:val="00D93EFE"/>
    <w:rsid w:val="00D9543C"/>
    <w:rsid w:val="00D96B15"/>
    <w:rsid w:val="00D971A4"/>
    <w:rsid w:val="00DA7C42"/>
    <w:rsid w:val="00DB05C8"/>
    <w:rsid w:val="00DB06EA"/>
    <w:rsid w:val="00DB4F8B"/>
    <w:rsid w:val="00DC0F2D"/>
    <w:rsid w:val="00DC2085"/>
    <w:rsid w:val="00DC3710"/>
    <w:rsid w:val="00DD0865"/>
    <w:rsid w:val="00DD3C47"/>
    <w:rsid w:val="00DD3CBB"/>
    <w:rsid w:val="00DD6787"/>
    <w:rsid w:val="00DD6CE4"/>
    <w:rsid w:val="00DD7F65"/>
    <w:rsid w:val="00DE1D95"/>
    <w:rsid w:val="00DE2DB7"/>
    <w:rsid w:val="00DE587B"/>
    <w:rsid w:val="00DE7604"/>
    <w:rsid w:val="00DE7C50"/>
    <w:rsid w:val="00DF3D87"/>
    <w:rsid w:val="00DF407B"/>
    <w:rsid w:val="00DF554D"/>
    <w:rsid w:val="00DF6051"/>
    <w:rsid w:val="00E02E8A"/>
    <w:rsid w:val="00E042B6"/>
    <w:rsid w:val="00E05EF6"/>
    <w:rsid w:val="00E079BA"/>
    <w:rsid w:val="00E12B16"/>
    <w:rsid w:val="00E143A9"/>
    <w:rsid w:val="00E14742"/>
    <w:rsid w:val="00E154B8"/>
    <w:rsid w:val="00E16716"/>
    <w:rsid w:val="00E2351E"/>
    <w:rsid w:val="00E240BF"/>
    <w:rsid w:val="00E245CD"/>
    <w:rsid w:val="00E25423"/>
    <w:rsid w:val="00E25B46"/>
    <w:rsid w:val="00E25C85"/>
    <w:rsid w:val="00E2671D"/>
    <w:rsid w:val="00E26D23"/>
    <w:rsid w:val="00E27878"/>
    <w:rsid w:val="00E3261C"/>
    <w:rsid w:val="00E33E36"/>
    <w:rsid w:val="00E35E0C"/>
    <w:rsid w:val="00E40DEC"/>
    <w:rsid w:val="00E43072"/>
    <w:rsid w:val="00E44B1E"/>
    <w:rsid w:val="00E56C48"/>
    <w:rsid w:val="00E60530"/>
    <w:rsid w:val="00E60830"/>
    <w:rsid w:val="00E6331D"/>
    <w:rsid w:val="00E64078"/>
    <w:rsid w:val="00E70254"/>
    <w:rsid w:val="00E73450"/>
    <w:rsid w:val="00E749F3"/>
    <w:rsid w:val="00E76D83"/>
    <w:rsid w:val="00E76E04"/>
    <w:rsid w:val="00E77A0D"/>
    <w:rsid w:val="00E86BAF"/>
    <w:rsid w:val="00E86DDC"/>
    <w:rsid w:val="00E86E1E"/>
    <w:rsid w:val="00E91F91"/>
    <w:rsid w:val="00E92B89"/>
    <w:rsid w:val="00E9468A"/>
    <w:rsid w:val="00EA31F9"/>
    <w:rsid w:val="00EB254C"/>
    <w:rsid w:val="00EB760C"/>
    <w:rsid w:val="00EC076E"/>
    <w:rsid w:val="00EC1134"/>
    <w:rsid w:val="00EC35A9"/>
    <w:rsid w:val="00EC3D92"/>
    <w:rsid w:val="00EC5108"/>
    <w:rsid w:val="00EC60C6"/>
    <w:rsid w:val="00EC73A5"/>
    <w:rsid w:val="00ED7824"/>
    <w:rsid w:val="00ED7AC7"/>
    <w:rsid w:val="00EE648E"/>
    <w:rsid w:val="00EE6940"/>
    <w:rsid w:val="00EE749B"/>
    <w:rsid w:val="00EF403C"/>
    <w:rsid w:val="00F00ECE"/>
    <w:rsid w:val="00F03B71"/>
    <w:rsid w:val="00F066AD"/>
    <w:rsid w:val="00F0715B"/>
    <w:rsid w:val="00F12CEB"/>
    <w:rsid w:val="00F2048B"/>
    <w:rsid w:val="00F21F91"/>
    <w:rsid w:val="00F21FB8"/>
    <w:rsid w:val="00F22238"/>
    <w:rsid w:val="00F24234"/>
    <w:rsid w:val="00F246DA"/>
    <w:rsid w:val="00F25A36"/>
    <w:rsid w:val="00F3105C"/>
    <w:rsid w:val="00F35C13"/>
    <w:rsid w:val="00F3699C"/>
    <w:rsid w:val="00F42D4C"/>
    <w:rsid w:val="00F51AED"/>
    <w:rsid w:val="00F55C16"/>
    <w:rsid w:val="00F57A1A"/>
    <w:rsid w:val="00F6108F"/>
    <w:rsid w:val="00F62645"/>
    <w:rsid w:val="00F76B15"/>
    <w:rsid w:val="00F771C8"/>
    <w:rsid w:val="00F774AB"/>
    <w:rsid w:val="00F806C4"/>
    <w:rsid w:val="00F857F9"/>
    <w:rsid w:val="00F90F75"/>
    <w:rsid w:val="00F92D42"/>
    <w:rsid w:val="00F96B41"/>
    <w:rsid w:val="00FA119C"/>
    <w:rsid w:val="00FA2FD9"/>
    <w:rsid w:val="00FA4EE1"/>
    <w:rsid w:val="00FA633D"/>
    <w:rsid w:val="00FA71A8"/>
    <w:rsid w:val="00FA7EFD"/>
    <w:rsid w:val="00FB2649"/>
    <w:rsid w:val="00FB514A"/>
    <w:rsid w:val="00FC009E"/>
    <w:rsid w:val="00FC38E2"/>
    <w:rsid w:val="00FC460F"/>
    <w:rsid w:val="00FC4808"/>
    <w:rsid w:val="00FC7C3F"/>
    <w:rsid w:val="00FD00BF"/>
    <w:rsid w:val="00FD08CD"/>
    <w:rsid w:val="00FD2AE1"/>
    <w:rsid w:val="00FD46FC"/>
    <w:rsid w:val="00FE2D09"/>
    <w:rsid w:val="00FE342E"/>
    <w:rsid w:val="00FE4387"/>
    <w:rsid w:val="00FE7FEA"/>
    <w:rsid w:val="00FF08BC"/>
    <w:rsid w:val="00FF510F"/>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5:docId w15:val="{4A3067FB-658D-4DA6-96BE-B084F791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35"/>
    <w:rPr>
      <w:rFonts w:ascii="Gill Sans MT" w:hAnsi="Gill Sans MT"/>
    </w:rPr>
  </w:style>
  <w:style w:type="paragraph" w:styleId="Heading1">
    <w:name w:val="heading 1"/>
    <w:basedOn w:val="Normal"/>
    <w:next w:val="BodyText"/>
    <w:link w:val="Heading1Char"/>
    <w:rsid w:val="00B94CC7"/>
    <w:pPr>
      <w:keepNext/>
      <w:keepLines/>
      <w:numPr>
        <w:numId w:val="1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rsid w:val="00B94CC7"/>
    <w:pPr>
      <w:keepNext/>
      <w:keepLines/>
      <w:numPr>
        <w:ilvl w:val="1"/>
        <w:numId w:val="19"/>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94CC7"/>
    <w:pPr>
      <w:keepNext/>
      <w:keepLines/>
      <w:numPr>
        <w:ilvl w:val="2"/>
        <w:numId w:val="1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94CC7"/>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B94CC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B94CC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B94CC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B94CC7"/>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B94CC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F0"/>
    <w:pPr>
      <w:ind w:left="720"/>
      <w:contextualSpacing/>
    </w:pPr>
  </w:style>
  <w:style w:type="paragraph" w:styleId="Footer">
    <w:name w:val="footer"/>
    <w:basedOn w:val="Normal"/>
    <w:link w:val="FooterChar"/>
    <w:uiPriority w:val="99"/>
    <w:rsid w:val="00D768CF"/>
    <w:pPr>
      <w:tabs>
        <w:tab w:val="center" w:pos="4153"/>
        <w:tab w:val="right" w:pos="8306"/>
      </w:tabs>
    </w:pPr>
  </w:style>
  <w:style w:type="character" w:customStyle="1" w:styleId="FooterChar">
    <w:name w:val="Footer Char"/>
    <w:basedOn w:val="DefaultParagraphFont"/>
    <w:link w:val="Footer"/>
    <w:uiPriority w:val="99"/>
    <w:rsid w:val="00D768CF"/>
  </w:style>
  <w:style w:type="character" w:styleId="PageNumber">
    <w:name w:val="page number"/>
    <w:basedOn w:val="DefaultParagraphFont"/>
    <w:rsid w:val="00D768CF"/>
  </w:style>
  <w:style w:type="paragraph" w:styleId="Header">
    <w:name w:val="header"/>
    <w:basedOn w:val="Normal"/>
    <w:link w:val="HeaderChar"/>
    <w:rsid w:val="00D768CF"/>
    <w:pPr>
      <w:tabs>
        <w:tab w:val="center" w:pos="4153"/>
        <w:tab w:val="right" w:pos="8306"/>
      </w:tabs>
    </w:pPr>
  </w:style>
  <w:style w:type="character" w:customStyle="1" w:styleId="HeaderChar">
    <w:name w:val="Header Char"/>
    <w:basedOn w:val="DefaultParagraphFont"/>
    <w:link w:val="Header"/>
    <w:rsid w:val="00D768CF"/>
  </w:style>
  <w:style w:type="paragraph" w:customStyle="1" w:styleId="Default">
    <w:name w:val="Default"/>
    <w:rsid w:val="00E245CD"/>
    <w:pPr>
      <w:widowControl w:val="0"/>
      <w:autoSpaceDE w:val="0"/>
      <w:autoSpaceDN w:val="0"/>
      <w:adjustRightInd w:val="0"/>
    </w:pPr>
    <w:rPr>
      <w:rFonts w:ascii="Quaestor" w:eastAsiaTheme="minorEastAsia" w:hAnsi="Quaestor" w:cs="Quaestor"/>
      <w:color w:val="000000"/>
      <w:lang w:eastAsia="nb-NO"/>
    </w:rPr>
  </w:style>
  <w:style w:type="paragraph" w:customStyle="1" w:styleId="CM17">
    <w:name w:val="CM17"/>
    <w:basedOn w:val="Default"/>
    <w:next w:val="Default"/>
    <w:uiPriority w:val="99"/>
    <w:rsid w:val="00E245CD"/>
    <w:rPr>
      <w:rFonts w:cstheme="minorBidi"/>
      <w:color w:val="auto"/>
    </w:rPr>
  </w:style>
  <w:style w:type="paragraph" w:customStyle="1" w:styleId="CM4">
    <w:name w:val="CM4"/>
    <w:basedOn w:val="Default"/>
    <w:next w:val="Default"/>
    <w:uiPriority w:val="99"/>
    <w:rsid w:val="00441F2F"/>
    <w:pPr>
      <w:spacing w:line="276" w:lineRule="atLeast"/>
    </w:pPr>
    <w:rPr>
      <w:rFonts w:cstheme="minorBidi"/>
      <w:color w:val="auto"/>
    </w:rPr>
  </w:style>
  <w:style w:type="paragraph" w:styleId="BalloonText">
    <w:name w:val="Balloon Text"/>
    <w:basedOn w:val="Normal"/>
    <w:link w:val="BalloonTextChar"/>
    <w:rsid w:val="00E77A0D"/>
    <w:rPr>
      <w:rFonts w:ascii="Tahoma" w:hAnsi="Tahoma" w:cs="Tahoma"/>
      <w:sz w:val="16"/>
      <w:szCs w:val="16"/>
    </w:rPr>
  </w:style>
  <w:style w:type="character" w:customStyle="1" w:styleId="BalloonTextChar">
    <w:name w:val="Balloon Text Char"/>
    <w:basedOn w:val="DefaultParagraphFont"/>
    <w:link w:val="BalloonText"/>
    <w:rsid w:val="00E77A0D"/>
    <w:rPr>
      <w:rFonts w:ascii="Tahoma" w:hAnsi="Tahoma" w:cs="Tahoma"/>
      <w:sz w:val="16"/>
      <w:szCs w:val="16"/>
    </w:rPr>
  </w:style>
  <w:style w:type="paragraph" w:customStyle="1" w:styleId="gp-tekst">
    <w:name w:val="gp-tekst"/>
    <w:basedOn w:val="Normal"/>
    <w:uiPriority w:val="99"/>
    <w:rsid w:val="00E77A0D"/>
    <w:pPr>
      <w:spacing w:after="200" w:line="276" w:lineRule="auto"/>
    </w:pPr>
    <w:rPr>
      <w:rFonts w:ascii="Times" w:eastAsia="Times New Roman" w:hAnsi="Times" w:cs="Times"/>
      <w:sz w:val="22"/>
      <w:szCs w:val="22"/>
      <w:lang w:val="en-US" w:bidi="en-US"/>
    </w:rPr>
  </w:style>
  <w:style w:type="character" w:styleId="LineNumber">
    <w:name w:val="line number"/>
    <w:basedOn w:val="DefaultParagraphFont"/>
    <w:rsid w:val="00D850A6"/>
  </w:style>
  <w:style w:type="character" w:styleId="Hyperlink">
    <w:name w:val="Hyperlink"/>
    <w:basedOn w:val="DefaultParagraphFont"/>
    <w:uiPriority w:val="99"/>
    <w:rsid w:val="001C5700"/>
    <w:rPr>
      <w:color w:val="0000FF" w:themeColor="hyperlink"/>
      <w:u w:val="single"/>
    </w:rPr>
  </w:style>
  <w:style w:type="paragraph" w:styleId="NormalWeb">
    <w:name w:val="Normal (Web)"/>
    <w:basedOn w:val="Normal"/>
    <w:uiPriority w:val="99"/>
    <w:unhideWhenUsed/>
    <w:rsid w:val="000D2729"/>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rsid w:val="006C12BF"/>
    <w:rPr>
      <w:color w:val="800080" w:themeColor="followedHyperlink"/>
      <w:u w:val="single"/>
    </w:rPr>
  </w:style>
  <w:style w:type="paragraph" w:styleId="PlainText">
    <w:name w:val="Plain Text"/>
    <w:basedOn w:val="Normal"/>
    <w:link w:val="PlainTextChar"/>
    <w:uiPriority w:val="99"/>
    <w:unhideWhenUsed/>
    <w:rsid w:val="003F4ABB"/>
    <w:rPr>
      <w:rFonts w:ascii="Consolas" w:hAnsi="Consolas" w:cs="Consolas"/>
      <w:sz w:val="21"/>
      <w:szCs w:val="21"/>
    </w:rPr>
  </w:style>
  <w:style w:type="character" w:customStyle="1" w:styleId="PlainTextChar">
    <w:name w:val="Plain Text Char"/>
    <w:basedOn w:val="DefaultParagraphFont"/>
    <w:link w:val="PlainText"/>
    <w:uiPriority w:val="99"/>
    <w:rsid w:val="003F4ABB"/>
    <w:rPr>
      <w:rFonts w:ascii="Consolas" w:hAnsi="Consolas" w:cs="Consolas"/>
      <w:sz w:val="21"/>
      <w:szCs w:val="21"/>
    </w:rPr>
  </w:style>
  <w:style w:type="character" w:styleId="CommentReference">
    <w:name w:val="annotation reference"/>
    <w:basedOn w:val="DefaultParagraphFont"/>
    <w:rsid w:val="00FE7FEA"/>
    <w:rPr>
      <w:sz w:val="16"/>
      <w:szCs w:val="16"/>
    </w:rPr>
  </w:style>
  <w:style w:type="paragraph" w:styleId="CommentText">
    <w:name w:val="annotation text"/>
    <w:basedOn w:val="Normal"/>
    <w:link w:val="CommentTextChar"/>
    <w:rsid w:val="00FE7FEA"/>
    <w:rPr>
      <w:sz w:val="20"/>
      <w:szCs w:val="20"/>
    </w:rPr>
  </w:style>
  <w:style w:type="character" w:customStyle="1" w:styleId="CommentTextChar">
    <w:name w:val="Comment Text Char"/>
    <w:basedOn w:val="DefaultParagraphFont"/>
    <w:link w:val="CommentText"/>
    <w:rsid w:val="00FE7FEA"/>
    <w:rPr>
      <w:sz w:val="20"/>
      <w:szCs w:val="20"/>
    </w:rPr>
  </w:style>
  <w:style w:type="paragraph" w:styleId="CommentSubject">
    <w:name w:val="annotation subject"/>
    <w:basedOn w:val="CommentText"/>
    <w:next w:val="CommentText"/>
    <w:link w:val="CommentSubjectChar"/>
    <w:rsid w:val="00FE7FEA"/>
    <w:rPr>
      <w:b/>
      <w:bCs/>
    </w:rPr>
  </w:style>
  <w:style w:type="character" w:customStyle="1" w:styleId="CommentSubjectChar">
    <w:name w:val="Comment Subject Char"/>
    <w:basedOn w:val="CommentTextChar"/>
    <w:link w:val="CommentSubject"/>
    <w:rsid w:val="00FE7FEA"/>
    <w:rPr>
      <w:b/>
      <w:bCs/>
      <w:sz w:val="20"/>
      <w:szCs w:val="20"/>
    </w:rPr>
  </w:style>
  <w:style w:type="paragraph" w:styleId="BodyText">
    <w:name w:val="Body Text"/>
    <w:basedOn w:val="Normal"/>
    <w:link w:val="BodyTextChar"/>
    <w:rsid w:val="002A011B"/>
    <w:pPr>
      <w:spacing w:after="120" w:line="276" w:lineRule="auto"/>
      <w:jc w:val="both"/>
    </w:pPr>
    <w:rPr>
      <w:rFonts w:eastAsia="Times New Roman" w:cs="Times New Roman"/>
      <w:lang w:val="x-none" w:eastAsia="x-none"/>
    </w:rPr>
  </w:style>
  <w:style w:type="character" w:customStyle="1" w:styleId="BodyTextChar">
    <w:name w:val="Body Text Char"/>
    <w:basedOn w:val="DefaultParagraphFont"/>
    <w:link w:val="BodyText"/>
    <w:rsid w:val="002A011B"/>
    <w:rPr>
      <w:rFonts w:ascii="Gill Sans MT" w:eastAsia="Times New Roman" w:hAnsi="Gill Sans MT" w:cs="Times New Roman"/>
      <w:lang w:val="x-none" w:eastAsia="x-none"/>
    </w:rPr>
  </w:style>
  <w:style w:type="paragraph" w:styleId="ListBullet">
    <w:name w:val="List Bullet"/>
    <w:basedOn w:val="Normal"/>
    <w:rsid w:val="009221E8"/>
    <w:pPr>
      <w:numPr>
        <w:numId w:val="1"/>
      </w:numPr>
      <w:spacing w:after="200" w:line="276" w:lineRule="auto"/>
      <w:contextualSpacing/>
      <w:jc w:val="both"/>
    </w:pPr>
    <w:rPr>
      <w:rFonts w:eastAsia="Times New Roman" w:cs="Times New Roman"/>
      <w:szCs w:val="22"/>
      <w:lang w:val="en-US" w:bidi="en-US"/>
    </w:rPr>
  </w:style>
  <w:style w:type="character" w:customStyle="1" w:styleId="Heading1Char">
    <w:name w:val="Heading 1 Char"/>
    <w:basedOn w:val="DefaultParagraphFont"/>
    <w:link w:val="Heading1"/>
    <w:rsid w:val="002A011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rsid w:val="002A01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A01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922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2C02"/>
    <w:rPr>
      <w:rFonts w:asciiTheme="majorHAnsi" w:eastAsiaTheme="majorEastAsia" w:hAnsiTheme="majorHAnsi" w:cstheme="majorBidi"/>
      <w:b/>
      <w:bCs/>
      <w:color w:val="4F81BD" w:themeColor="accent1"/>
    </w:rPr>
  </w:style>
  <w:style w:type="paragraph" w:styleId="ListNumber">
    <w:name w:val="List Number"/>
    <w:basedOn w:val="Normal"/>
    <w:rsid w:val="00263805"/>
    <w:pPr>
      <w:numPr>
        <w:numId w:val="2"/>
      </w:numPr>
      <w:spacing w:after="200" w:line="276" w:lineRule="auto"/>
      <w:contextualSpacing/>
      <w:jc w:val="both"/>
    </w:pPr>
    <w:rPr>
      <w:rFonts w:eastAsia="Times New Roman" w:cs="Times New Roman"/>
      <w:sz w:val="22"/>
      <w:szCs w:val="22"/>
      <w:lang w:val="en-US" w:bidi="en-US"/>
    </w:rPr>
  </w:style>
  <w:style w:type="paragraph" w:customStyle="1" w:styleId="Tiltak">
    <w:name w:val="Tiltak"/>
    <w:basedOn w:val="Heading2"/>
    <w:link w:val="TiltakChar"/>
    <w:qFormat/>
    <w:rsid w:val="00E76D83"/>
    <w:pPr>
      <w:numPr>
        <w:numId w:val="3"/>
      </w:numPr>
    </w:pPr>
  </w:style>
  <w:style w:type="character" w:customStyle="1" w:styleId="TiltakChar">
    <w:name w:val="Tiltak Char"/>
    <w:basedOn w:val="Heading2Char"/>
    <w:link w:val="Tiltak"/>
    <w:rsid w:val="00E76D8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A03358"/>
    <w:pPr>
      <w:spacing w:after="200" w:line="276" w:lineRule="auto"/>
      <w:jc w:val="both"/>
    </w:pPr>
    <w:rPr>
      <w:rFonts w:eastAsia="Times New Roman" w:cs="Times New Roman"/>
      <w:sz w:val="20"/>
      <w:szCs w:val="20"/>
      <w:lang w:val="en-US" w:bidi="en-US"/>
    </w:rPr>
  </w:style>
  <w:style w:type="character" w:customStyle="1" w:styleId="FootnoteTextChar">
    <w:name w:val="Footnote Text Char"/>
    <w:basedOn w:val="DefaultParagraphFont"/>
    <w:link w:val="FootnoteText"/>
    <w:rsid w:val="00A03358"/>
    <w:rPr>
      <w:rFonts w:ascii="Gill Sans MT" w:eastAsia="Times New Roman" w:hAnsi="Gill Sans MT" w:cs="Times New Roman"/>
      <w:sz w:val="20"/>
      <w:szCs w:val="20"/>
      <w:lang w:val="en-US" w:bidi="en-US"/>
    </w:rPr>
  </w:style>
  <w:style w:type="character" w:styleId="FootnoteReference">
    <w:name w:val="footnote reference"/>
    <w:basedOn w:val="DefaultParagraphFont"/>
    <w:unhideWhenUsed/>
    <w:rsid w:val="00A03358"/>
    <w:rPr>
      <w:vertAlign w:val="superscript"/>
    </w:rPr>
  </w:style>
  <w:style w:type="paragraph" w:styleId="Caption">
    <w:name w:val="caption"/>
    <w:basedOn w:val="Normal"/>
    <w:next w:val="Normal"/>
    <w:uiPriority w:val="35"/>
    <w:qFormat/>
    <w:rsid w:val="00323BED"/>
    <w:pPr>
      <w:spacing w:before="240" w:line="276" w:lineRule="auto"/>
      <w:jc w:val="both"/>
    </w:pPr>
    <w:rPr>
      <w:rFonts w:eastAsia="Times New Roman" w:cs="Times New Roman"/>
      <w:b/>
      <w:bCs/>
      <w:sz w:val="20"/>
      <w:szCs w:val="20"/>
      <w:lang w:val="en-US" w:bidi="en-US"/>
    </w:rPr>
  </w:style>
  <w:style w:type="table" w:styleId="LightShading">
    <w:name w:val="Light Shading"/>
    <w:basedOn w:val="TableNormal"/>
    <w:uiPriority w:val="60"/>
    <w:rsid w:val="00A03358"/>
    <w:rPr>
      <w:rFonts w:eastAsiaTheme="minorEastAsia"/>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eorgia11spacing10after">
    <w:name w:val="Georgia11_spacing_10after"/>
    <w:basedOn w:val="Normal"/>
    <w:rsid w:val="00070AFF"/>
    <w:pPr>
      <w:spacing w:after="200" w:line="276" w:lineRule="auto"/>
    </w:pPr>
    <w:rPr>
      <w:rFonts w:ascii="Georgia" w:eastAsia="Calibri" w:hAnsi="Georgia" w:cs="Times New Roman"/>
      <w:sz w:val="22"/>
      <w:szCs w:val="22"/>
    </w:rPr>
  </w:style>
  <w:style w:type="table" w:styleId="MediumList1">
    <w:name w:val="Medium List 1"/>
    <w:basedOn w:val="TableNormal"/>
    <w:rsid w:val="00E56C4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Style1">
    <w:name w:val="Style1"/>
    <w:basedOn w:val="BodyText"/>
    <w:qFormat/>
    <w:rsid w:val="00B94CC7"/>
    <w:rPr>
      <w:lang w:val="nb-NO"/>
    </w:rPr>
  </w:style>
  <w:style w:type="character" w:customStyle="1" w:styleId="Heading4Char">
    <w:name w:val="Heading 4 Char"/>
    <w:basedOn w:val="DefaultParagraphFont"/>
    <w:link w:val="Heading4"/>
    <w:rsid w:val="00B94CC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B94CC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B94CC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94CC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B94C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94CC7"/>
    <w:rPr>
      <w:rFonts w:asciiTheme="majorHAnsi" w:eastAsiaTheme="majorEastAsia" w:hAnsiTheme="majorHAnsi" w:cstheme="majorBidi"/>
      <w:i/>
      <w:iCs/>
      <w:color w:val="272727" w:themeColor="text1" w:themeTint="D8"/>
      <w:sz w:val="21"/>
      <w:szCs w:val="21"/>
    </w:rPr>
  </w:style>
  <w:style w:type="table" w:styleId="GridTable2">
    <w:name w:val="Grid Table 2"/>
    <w:basedOn w:val="TableNormal"/>
    <w:rsid w:val="004E1D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1D0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4E1D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D3F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8D3F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
    <w:name w:val="List"/>
    <w:basedOn w:val="Normal"/>
    <w:unhideWhenUsed/>
    <w:rsid w:val="00695B35"/>
    <w:pPr>
      <w:ind w:left="283" w:hanging="283"/>
      <w:contextualSpacing/>
    </w:pPr>
  </w:style>
  <w:style w:type="table" w:styleId="ListTable7Colorful">
    <w:name w:val="List Table 7 Colorful"/>
    <w:basedOn w:val="TableNormal"/>
    <w:uiPriority w:val="52"/>
    <w:rsid w:val="00D670F4"/>
    <w:rPr>
      <w:color w:val="000000" w:themeColor="text1"/>
    </w:rPr>
    <w:tblPr>
      <w:tblStyleRowBandSize w:val="1"/>
      <w:tblStyleColBandSize w:val="1"/>
    </w:tblPr>
    <w:tblStylePr w:type="firstRow">
      <w:rPr>
        <w:rFonts w:asciiTheme="majorHAnsi" w:eastAsiaTheme="majorEastAsia" w:hAnsiTheme="majorHAnsi" w:cstheme="majorBidi"/>
        <w:b/>
        <w:i w:val="0"/>
        <w:iCs/>
        <w:sz w:val="26"/>
      </w:rPr>
      <w:tblPr/>
      <w:tcPr>
        <w:tcBorders>
          <w:top w:val="single" w:sz="4" w:space="0" w:color="000000"/>
          <w:left w:val="nil"/>
          <w:bottom w:val="single" w:sz="4" w:space="0" w:color="000000"/>
          <w:right w:val="nil"/>
        </w:tcBorders>
        <w:shd w:val="clear" w:color="auto" w:fill="FFFFFF" w:themeFill="background1"/>
      </w:tcPr>
    </w:tblStylePr>
    <w:tblStylePr w:type="lastRow">
      <w:rPr>
        <w:rFonts w:asciiTheme="majorHAnsi" w:eastAsiaTheme="majorEastAsia" w:hAnsiTheme="majorHAnsi" w:cstheme="majorBidi"/>
        <w:i w:val="0"/>
        <w:iCs/>
        <w:sz w:val="26"/>
      </w:rPr>
      <w:tblPr/>
      <w:tcPr>
        <w:tcBorders>
          <w:top w:val="nil"/>
          <w:bottom w:val="single" w:sz="4" w:space="0" w:color="000000"/>
        </w:tcBorders>
        <w:shd w:val="clear" w:color="auto" w:fill="FFFFFF" w:themeFill="background1"/>
      </w:tcPr>
    </w:tblStylePr>
    <w:tblStylePr w:type="firstCol">
      <w:pPr>
        <w:jc w:val="right"/>
      </w:pPr>
      <w:rPr>
        <w:rFonts w:asciiTheme="majorHAnsi" w:eastAsiaTheme="majorEastAsia" w:hAnsiTheme="majorHAnsi" w:cstheme="majorBidi"/>
        <w:b/>
        <w:i w:val="0"/>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rsid w:val="00B13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53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09">
      <w:bodyDiv w:val="1"/>
      <w:marLeft w:val="0"/>
      <w:marRight w:val="0"/>
      <w:marTop w:val="0"/>
      <w:marBottom w:val="0"/>
      <w:divBdr>
        <w:top w:val="none" w:sz="0" w:space="0" w:color="auto"/>
        <w:left w:val="none" w:sz="0" w:space="0" w:color="auto"/>
        <w:bottom w:val="none" w:sz="0" w:space="0" w:color="auto"/>
        <w:right w:val="none" w:sz="0" w:space="0" w:color="auto"/>
      </w:divBdr>
    </w:div>
    <w:div w:id="6372606">
      <w:bodyDiv w:val="1"/>
      <w:marLeft w:val="0"/>
      <w:marRight w:val="0"/>
      <w:marTop w:val="0"/>
      <w:marBottom w:val="0"/>
      <w:divBdr>
        <w:top w:val="none" w:sz="0" w:space="0" w:color="auto"/>
        <w:left w:val="none" w:sz="0" w:space="0" w:color="auto"/>
        <w:bottom w:val="none" w:sz="0" w:space="0" w:color="auto"/>
        <w:right w:val="none" w:sz="0" w:space="0" w:color="auto"/>
      </w:divBdr>
    </w:div>
    <w:div w:id="35545596">
      <w:bodyDiv w:val="1"/>
      <w:marLeft w:val="0"/>
      <w:marRight w:val="0"/>
      <w:marTop w:val="0"/>
      <w:marBottom w:val="0"/>
      <w:divBdr>
        <w:top w:val="none" w:sz="0" w:space="0" w:color="auto"/>
        <w:left w:val="none" w:sz="0" w:space="0" w:color="auto"/>
        <w:bottom w:val="none" w:sz="0" w:space="0" w:color="auto"/>
        <w:right w:val="none" w:sz="0" w:space="0" w:color="auto"/>
      </w:divBdr>
    </w:div>
    <w:div w:id="40640212">
      <w:bodyDiv w:val="1"/>
      <w:marLeft w:val="0"/>
      <w:marRight w:val="0"/>
      <w:marTop w:val="0"/>
      <w:marBottom w:val="0"/>
      <w:divBdr>
        <w:top w:val="none" w:sz="0" w:space="0" w:color="auto"/>
        <w:left w:val="none" w:sz="0" w:space="0" w:color="auto"/>
        <w:bottom w:val="none" w:sz="0" w:space="0" w:color="auto"/>
        <w:right w:val="none" w:sz="0" w:space="0" w:color="auto"/>
      </w:divBdr>
    </w:div>
    <w:div w:id="43406499">
      <w:bodyDiv w:val="1"/>
      <w:marLeft w:val="0"/>
      <w:marRight w:val="0"/>
      <w:marTop w:val="0"/>
      <w:marBottom w:val="0"/>
      <w:divBdr>
        <w:top w:val="none" w:sz="0" w:space="0" w:color="auto"/>
        <w:left w:val="none" w:sz="0" w:space="0" w:color="auto"/>
        <w:bottom w:val="none" w:sz="0" w:space="0" w:color="auto"/>
        <w:right w:val="none" w:sz="0" w:space="0" w:color="auto"/>
      </w:divBdr>
    </w:div>
    <w:div w:id="104883700">
      <w:bodyDiv w:val="1"/>
      <w:marLeft w:val="0"/>
      <w:marRight w:val="0"/>
      <w:marTop w:val="0"/>
      <w:marBottom w:val="0"/>
      <w:divBdr>
        <w:top w:val="none" w:sz="0" w:space="0" w:color="auto"/>
        <w:left w:val="none" w:sz="0" w:space="0" w:color="auto"/>
        <w:bottom w:val="none" w:sz="0" w:space="0" w:color="auto"/>
        <w:right w:val="none" w:sz="0" w:space="0" w:color="auto"/>
      </w:divBdr>
    </w:div>
    <w:div w:id="112289647">
      <w:bodyDiv w:val="1"/>
      <w:marLeft w:val="0"/>
      <w:marRight w:val="0"/>
      <w:marTop w:val="0"/>
      <w:marBottom w:val="0"/>
      <w:divBdr>
        <w:top w:val="none" w:sz="0" w:space="0" w:color="auto"/>
        <w:left w:val="none" w:sz="0" w:space="0" w:color="auto"/>
        <w:bottom w:val="none" w:sz="0" w:space="0" w:color="auto"/>
        <w:right w:val="none" w:sz="0" w:space="0" w:color="auto"/>
      </w:divBdr>
    </w:div>
    <w:div w:id="121115902">
      <w:bodyDiv w:val="1"/>
      <w:marLeft w:val="0"/>
      <w:marRight w:val="0"/>
      <w:marTop w:val="0"/>
      <w:marBottom w:val="0"/>
      <w:divBdr>
        <w:top w:val="none" w:sz="0" w:space="0" w:color="auto"/>
        <w:left w:val="none" w:sz="0" w:space="0" w:color="auto"/>
        <w:bottom w:val="none" w:sz="0" w:space="0" w:color="auto"/>
        <w:right w:val="none" w:sz="0" w:space="0" w:color="auto"/>
      </w:divBdr>
      <w:divsChild>
        <w:div w:id="328564554">
          <w:marLeft w:val="0"/>
          <w:marRight w:val="0"/>
          <w:marTop w:val="0"/>
          <w:marBottom w:val="0"/>
          <w:divBdr>
            <w:top w:val="none" w:sz="0" w:space="0" w:color="auto"/>
            <w:left w:val="none" w:sz="0" w:space="0" w:color="auto"/>
            <w:bottom w:val="none" w:sz="0" w:space="0" w:color="auto"/>
            <w:right w:val="none" w:sz="0" w:space="0" w:color="auto"/>
          </w:divBdr>
        </w:div>
        <w:div w:id="1795555732">
          <w:marLeft w:val="0"/>
          <w:marRight w:val="0"/>
          <w:marTop w:val="0"/>
          <w:marBottom w:val="0"/>
          <w:divBdr>
            <w:top w:val="none" w:sz="0" w:space="0" w:color="auto"/>
            <w:left w:val="none" w:sz="0" w:space="0" w:color="auto"/>
            <w:bottom w:val="none" w:sz="0" w:space="0" w:color="auto"/>
            <w:right w:val="none" w:sz="0" w:space="0" w:color="auto"/>
          </w:divBdr>
        </w:div>
        <w:div w:id="222176309">
          <w:marLeft w:val="0"/>
          <w:marRight w:val="0"/>
          <w:marTop w:val="0"/>
          <w:marBottom w:val="0"/>
          <w:divBdr>
            <w:top w:val="none" w:sz="0" w:space="0" w:color="auto"/>
            <w:left w:val="none" w:sz="0" w:space="0" w:color="auto"/>
            <w:bottom w:val="none" w:sz="0" w:space="0" w:color="auto"/>
            <w:right w:val="none" w:sz="0" w:space="0" w:color="auto"/>
          </w:divBdr>
        </w:div>
      </w:divsChild>
    </w:div>
    <w:div w:id="158039212">
      <w:bodyDiv w:val="1"/>
      <w:marLeft w:val="0"/>
      <w:marRight w:val="0"/>
      <w:marTop w:val="0"/>
      <w:marBottom w:val="0"/>
      <w:divBdr>
        <w:top w:val="none" w:sz="0" w:space="0" w:color="auto"/>
        <w:left w:val="none" w:sz="0" w:space="0" w:color="auto"/>
        <w:bottom w:val="none" w:sz="0" w:space="0" w:color="auto"/>
        <w:right w:val="none" w:sz="0" w:space="0" w:color="auto"/>
      </w:divBdr>
    </w:div>
    <w:div w:id="175776244">
      <w:bodyDiv w:val="1"/>
      <w:marLeft w:val="0"/>
      <w:marRight w:val="0"/>
      <w:marTop w:val="0"/>
      <w:marBottom w:val="0"/>
      <w:divBdr>
        <w:top w:val="none" w:sz="0" w:space="0" w:color="auto"/>
        <w:left w:val="none" w:sz="0" w:space="0" w:color="auto"/>
        <w:bottom w:val="none" w:sz="0" w:space="0" w:color="auto"/>
        <w:right w:val="none" w:sz="0" w:space="0" w:color="auto"/>
      </w:divBdr>
    </w:div>
    <w:div w:id="185221198">
      <w:bodyDiv w:val="1"/>
      <w:marLeft w:val="0"/>
      <w:marRight w:val="0"/>
      <w:marTop w:val="0"/>
      <w:marBottom w:val="0"/>
      <w:divBdr>
        <w:top w:val="none" w:sz="0" w:space="0" w:color="auto"/>
        <w:left w:val="none" w:sz="0" w:space="0" w:color="auto"/>
        <w:bottom w:val="none" w:sz="0" w:space="0" w:color="auto"/>
        <w:right w:val="none" w:sz="0" w:space="0" w:color="auto"/>
      </w:divBdr>
    </w:div>
    <w:div w:id="188834365">
      <w:bodyDiv w:val="1"/>
      <w:marLeft w:val="0"/>
      <w:marRight w:val="0"/>
      <w:marTop w:val="0"/>
      <w:marBottom w:val="0"/>
      <w:divBdr>
        <w:top w:val="none" w:sz="0" w:space="0" w:color="auto"/>
        <w:left w:val="none" w:sz="0" w:space="0" w:color="auto"/>
        <w:bottom w:val="none" w:sz="0" w:space="0" w:color="auto"/>
        <w:right w:val="none" w:sz="0" w:space="0" w:color="auto"/>
      </w:divBdr>
    </w:div>
    <w:div w:id="197865363">
      <w:bodyDiv w:val="1"/>
      <w:marLeft w:val="0"/>
      <w:marRight w:val="0"/>
      <w:marTop w:val="0"/>
      <w:marBottom w:val="0"/>
      <w:divBdr>
        <w:top w:val="none" w:sz="0" w:space="0" w:color="auto"/>
        <w:left w:val="none" w:sz="0" w:space="0" w:color="auto"/>
        <w:bottom w:val="none" w:sz="0" w:space="0" w:color="auto"/>
        <w:right w:val="none" w:sz="0" w:space="0" w:color="auto"/>
      </w:divBdr>
    </w:div>
    <w:div w:id="236061026">
      <w:bodyDiv w:val="1"/>
      <w:marLeft w:val="0"/>
      <w:marRight w:val="0"/>
      <w:marTop w:val="0"/>
      <w:marBottom w:val="0"/>
      <w:divBdr>
        <w:top w:val="none" w:sz="0" w:space="0" w:color="auto"/>
        <w:left w:val="none" w:sz="0" w:space="0" w:color="auto"/>
        <w:bottom w:val="none" w:sz="0" w:space="0" w:color="auto"/>
        <w:right w:val="none" w:sz="0" w:space="0" w:color="auto"/>
      </w:divBdr>
    </w:div>
    <w:div w:id="260841044">
      <w:bodyDiv w:val="1"/>
      <w:marLeft w:val="0"/>
      <w:marRight w:val="0"/>
      <w:marTop w:val="0"/>
      <w:marBottom w:val="0"/>
      <w:divBdr>
        <w:top w:val="none" w:sz="0" w:space="0" w:color="auto"/>
        <w:left w:val="none" w:sz="0" w:space="0" w:color="auto"/>
        <w:bottom w:val="none" w:sz="0" w:space="0" w:color="auto"/>
        <w:right w:val="none" w:sz="0" w:space="0" w:color="auto"/>
      </w:divBdr>
    </w:div>
    <w:div w:id="268634139">
      <w:bodyDiv w:val="1"/>
      <w:marLeft w:val="0"/>
      <w:marRight w:val="0"/>
      <w:marTop w:val="0"/>
      <w:marBottom w:val="0"/>
      <w:divBdr>
        <w:top w:val="none" w:sz="0" w:space="0" w:color="auto"/>
        <w:left w:val="none" w:sz="0" w:space="0" w:color="auto"/>
        <w:bottom w:val="none" w:sz="0" w:space="0" w:color="auto"/>
        <w:right w:val="none" w:sz="0" w:space="0" w:color="auto"/>
      </w:divBdr>
    </w:div>
    <w:div w:id="276721710">
      <w:bodyDiv w:val="1"/>
      <w:marLeft w:val="0"/>
      <w:marRight w:val="0"/>
      <w:marTop w:val="0"/>
      <w:marBottom w:val="0"/>
      <w:divBdr>
        <w:top w:val="none" w:sz="0" w:space="0" w:color="auto"/>
        <w:left w:val="none" w:sz="0" w:space="0" w:color="auto"/>
        <w:bottom w:val="none" w:sz="0" w:space="0" w:color="auto"/>
        <w:right w:val="none" w:sz="0" w:space="0" w:color="auto"/>
      </w:divBdr>
    </w:div>
    <w:div w:id="301466117">
      <w:bodyDiv w:val="1"/>
      <w:marLeft w:val="0"/>
      <w:marRight w:val="0"/>
      <w:marTop w:val="0"/>
      <w:marBottom w:val="0"/>
      <w:divBdr>
        <w:top w:val="none" w:sz="0" w:space="0" w:color="auto"/>
        <w:left w:val="none" w:sz="0" w:space="0" w:color="auto"/>
        <w:bottom w:val="none" w:sz="0" w:space="0" w:color="auto"/>
        <w:right w:val="none" w:sz="0" w:space="0" w:color="auto"/>
      </w:divBdr>
    </w:div>
    <w:div w:id="307592018">
      <w:bodyDiv w:val="1"/>
      <w:marLeft w:val="0"/>
      <w:marRight w:val="0"/>
      <w:marTop w:val="0"/>
      <w:marBottom w:val="0"/>
      <w:divBdr>
        <w:top w:val="none" w:sz="0" w:space="0" w:color="auto"/>
        <w:left w:val="none" w:sz="0" w:space="0" w:color="auto"/>
        <w:bottom w:val="none" w:sz="0" w:space="0" w:color="auto"/>
        <w:right w:val="none" w:sz="0" w:space="0" w:color="auto"/>
      </w:divBdr>
    </w:div>
    <w:div w:id="314073253">
      <w:bodyDiv w:val="1"/>
      <w:marLeft w:val="0"/>
      <w:marRight w:val="0"/>
      <w:marTop w:val="0"/>
      <w:marBottom w:val="0"/>
      <w:divBdr>
        <w:top w:val="none" w:sz="0" w:space="0" w:color="auto"/>
        <w:left w:val="none" w:sz="0" w:space="0" w:color="auto"/>
        <w:bottom w:val="none" w:sz="0" w:space="0" w:color="auto"/>
        <w:right w:val="none" w:sz="0" w:space="0" w:color="auto"/>
      </w:divBdr>
    </w:div>
    <w:div w:id="336150855">
      <w:bodyDiv w:val="1"/>
      <w:marLeft w:val="0"/>
      <w:marRight w:val="0"/>
      <w:marTop w:val="0"/>
      <w:marBottom w:val="0"/>
      <w:divBdr>
        <w:top w:val="none" w:sz="0" w:space="0" w:color="auto"/>
        <w:left w:val="none" w:sz="0" w:space="0" w:color="auto"/>
        <w:bottom w:val="none" w:sz="0" w:space="0" w:color="auto"/>
        <w:right w:val="none" w:sz="0" w:space="0" w:color="auto"/>
      </w:divBdr>
    </w:div>
    <w:div w:id="374282066">
      <w:bodyDiv w:val="1"/>
      <w:marLeft w:val="0"/>
      <w:marRight w:val="0"/>
      <w:marTop w:val="0"/>
      <w:marBottom w:val="0"/>
      <w:divBdr>
        <w:top w:val="none" w:sz="0" w:space="0" w:color="auto"/>
        <w:left w:val="none" w:sz="0" w:space="0" w:color="auto"/>
        <w:bottom w:val="none" w:sz="0" w:space="0" w:color="auto"/>
        <w:right w:val="none" w:sz="0" w:space="0" w:color="auto"/>
      </w:divBdr>
    </w:div>
    <w:div w:id="375350773">
      <w:bodyDiv w:val="1"/>
      <w:marLeft w:val="0"/>
      <w:marRight w:val="0"/>
      <w:marTop w:val="0"/>
      <w:marBottom w:val="0"/>
      <w:divBdr>
        <w:top w:val="none" w:sz="0" w:space="0" w:color="auto"/>
        <w:left w:val="none" w:sz="0" w:space="0" w:color="auto"/>
        <w:bottom w:val="none" w:sz="0" w:space="0" w:color="auto"/>
        <w:right w:val="none" w:sz="0" w:space="0" w:color="auto"/>
      </w:divBdr>
    </w:div>
    <w:div w:id="384111343">
      <w:bodyDiv w:val="1"/>
      <w:marLeft w:val="0"/>
      <w:marRight w:val="0"/>
      <w:marTop w:val="0"/>
      <w:marBottom w:val="0"/>
      <w:divBdr>
        <w:top w:val="none" w:sz="0" w:space="0" w:color="auto"/>
        <w:left w:val="none" w:sz="0" w:space="0" w:color="auto"/>
        <w:bottom w:val="none" w:sz="0" w:space="0" w:color="auto"/>
        <w:right w:val="none" w:sz="0" w:space="0" w:color="auto"/>
      </w:divBdr>
    </w:div>
    <w:div w:id="424569258">
      <w:bodyDiv w:val="1"/>
      <w:marLeft w:val="0"/>
      <w:marRight w:val="0"/>
      <w:marTop w:val="0"/>
      <w:marBottom w:val="0"/>
      <w:divBdr>
        <w:top w:val="none" w:sz="0" w:space="0" w:color="auto"/>
        <w:left w:val="none" w:sz="0" w:space="0" w:color="auto"/>
        <w:bottom w:val="none" w:sz="0" w:space="0" w:color="auto"/>
        <w:right w:val="none" w:sz="0" w:space="0" w:color="auto"/>
      </w:divBdr>
    </w:div>
    <w:div w:id="437453112">
      <w:bodyDiv w:val="1"/>
      <w:marLeft w:val="0"/>
      <w:marRight w:val="0"/>
      <w:marTop w:val="0"/>
      <w:marBottom w:val="0"/>
      <w:divBdr>
        <w:top w:val="none" w:sz="0" w:space="0" w:color="auto"/>
        <w:left w:val="none" w:sz="0" w:space="0" w:color="auto"/>
        <w:bottom w:val="none" w:sz="0" w:space="0" w:color="auto"/>
        <w:right w:val="none" w:sz="0" w:space="0" w:color="auto"/>
      </w:divBdr>
    </w:div>
    <w:div w:id="454755455">
      <w:bodyDiv w:val="1"/>
      <w:marLeft w:val="0"/>
      <w:marRight w:val="0"/>
      <w:marTop w:val="0"/>
      <w:marBottom w:val="0"/>
      <w:divBdr>
        <w:top w:val="none" w:sz="0" w:space="0" w:color="auto"/>
        <w:left w:val="none" w:sz="0" w:space="0" w:color="auto"/>
        <w:bottom w:val="none" w:sz="0" w:space="0" w:color="auto"/>
        <w:right w:val="none" w:sz="0" w:space="0" w:color="auto"/>
      </w:divBdr>
    </w:div>
    <w:div w:id="474613308">
      <w:bodyDiv w:val="1"/>
      <w:marLeft w:val="0"/>
      <w:marRight w:val="0"/>
      <w:marTop w:val="0"/>
      <w:marBottom w:val="0"/>
      <w:divBdr>
        <w:top w:val="none" w:sz="0" w:space="0" w:color="auto"/>
        <w:left w:val="none" w:sz="0" w:space="0" w:color="auto"/>
        <w:bottom w:val="none" w:sz="0" w:space="0" w:color="auto"/>
        <w:right w:val="none" w:sz="0" w:space="0" w:color="auto"/>
      </w:divBdr>
    </w:div>
    <w:div w:id="484518912">
      <w:bodyDiv w:val="1"/>
      <w:marLeft w:val="0"/>
      <w:marRight w:val="0"/>
      <w:marTop w:val="0"/>
      <w:marBottom w:val="0"/>
      <w:divBdr>
        <w:top w:val="none" w:sz="0" w:space="0" w:color="auto"/>
        <w:left w:val="none" w:sz="0" w:space="0" w:color="auto"/>
        <w:bottom w:val="none" w:sz="0" w:space="0" w:color="auto"/>
        <w:right w:val="none" w:sz="0" w:space="0" w:color="auto"/>
      </w:divBdr>
    </w:div>
    <w:div w:id="561602717">
      <w:bodyDiv w:val="1"/>
      <w:marLeft w:val="0"/>
      <w:marRight w:val="0"/>
      <w:marTop w:val="0"/>
      <w:marBottom w:val="0"/>
      <w:divBdr>
        <w:top w:val="none" w:sz="0" w:space="0" w:color="auto"/>
        <w:left w:val="none" w:sz="0" w:space="0" w:color="auto"/>
        <w:bottom w:val="none" w:sz="0" w:space="0" w:color="auto"/>
        <w:right w:val="none" w:sz="0" w:space="0" w:color="auto"/>
      </w:divBdr>
    </w:div>
    <w:div w:id="567808936">
      <w:bodyDiv w:val="1"/>
      <w:marLeft w:val="0"/>
      <w:marRight w:val="0"/>
      <w:marTop w:val="0"/>
      <w:marBottom w:val="0"/>
      <w:divBdr>
        <w:top w:val="none" w:sz="0" w:space="0" w:color="auto"/>
        <w:left w:val="none" w:sz="0" w:space="0" w:color="auto"/>
        <w:bottom w:val="none" w:sz="0" w:space="0" w:color="auto"/>
        <w:right w:val="none" w:sz="0" w:space="0" w:color="auto"/>
      </w:divBdr>
    </w:div>
    <w:div w:id="621501083">
      <w:bodyDiv w:val="1"/>
      <w:marLeft w:val="0"/>
      <w:marRight w:val="0"/>
      <w:marTop w:val="0"/>
      <w:marBottom w:val="0"/>
      <w:divBdr>
        <w:top w:val="none" w:sz="0" w:space="0" w:color="auto"/>
        <w:left w:val="none" w:sz="0" w:space="0" w:color="auto"/>
        <w:bottom w:val="none" w:sz="0" w:space="0" w:color="auto"/>
        <w:right w:val="none" w:sz="0" w:space="0" w:color="auto"/>
      </w:divBdr>
    </w:div>
    <w:div w:id="624846808">
      <w:bodyDiv w:val="1"/>
      <w:marLeft w:val="0"/>
      <w:marRight w:val="0"/>
      <w:marTop w:val="0"/>
      <w:marBottom w:val="0"/>
      <w:divBdr>
        <w:top w:val="none" w:sz="0" w:space="0" w:color="auto"/>
        <w:left w:val="none" w:sz="0" w:space="0" w:color="auto"/>
        <w:bottom w:val="none" w:sz="0" w:space="0" w:color="auto"/>
        <w:right w:val="none" w:sz="0" w:space="0" w:color="auto"/>
      </w:divBdr>
    </w:div>
    <w:div w:id="638877246">
      <w:bodyDiv w:val="1"/>
      <w:marLeft w:val="0"/>
      <w:marRight w:val="0"/>
      <w:marTop w:val="0"/>
      <w:marBottom w:val="0"/>
      <w:divBdr>
        <w:top w:val="none" w:sz="0" w:space="0" w:color="auto"/>
        <w:left w:val="none" w:sz="0" w:space="0" w:color="auto"/>
        <w:bottom w:val="none" w:sz="0" w:space="0" w:color="auto"/>
        <w:right w:val="none" w:sz="0" w:space="0" w:color="auto"/>
      </w:divBdr>
    </w:div>
    <w:div w:id="647781168">
      <w:bodyDiv w:val="1"/>
      <w:marLeft w:val="0"/>
      <w:marRight w:val="0"/>
      <w:marTop w:val="0"/>
      <w:marBottom w:val="0"/>
      <w:divBdr>
        <w:top w:val="none" w:sz="0" w:space="0" w:color="auto"/>
        <w:left w:val="none" w:sz="0" w:space="0" w:color="auto"/>
        <w:bottom w:val="none" w:sz="0" w:space="0" w:color="auto"/>
        <w:right w:val="none" w:sz="0" w:space="0" w:color="auto"/>
      </w:divBdr>
    </w:div>
    <w:div w:id="665934003">
      <w:bodyDiv w:val="1"/>
      <w:marLeft w:val="0"/>
      <w:marRight w:val="0"/>
      <w:marTop w:val="0"/>
      <w:marBottom w:val="0"/>
      <w:divBdr>
        <w:top w:val="none" w:sz="0" w:space="0" w:color="auto"/>
        <w:left w:val="none" w:sz="0" w:space="0" w:color="auto"/>
        <w:bottom w:val="none" w:sz="0" w:space="0" w:color="auto"/>
        <w:right w:val="none" w:sz="0" w:space="0" w:color="auto"/>
      </w:divBdr>
    </w:div>
    <w:div w:id="680354479">
      <w:bodyDiv w:val="1"/>
      <w:marLeft w:val="0"/>
      <w:marRight w:val="0"/>
      <w:marTop w:val="0"/>
      <w:marBottom w:val="0"/>
      <w:divBdr>
        <w:top w:val="none" w:sz="0" w:space="0" w:color="auto"/>
        <w:left w:val="none" w:sz="0" w:space="0" w:color="auto"/>
        <w:bottom w:val="none" w:sz="0" w:space="0" w:color="auto"/>
        <w:right w:val="none" w:sz="0" w:space="0" w:color="auto"/>
      </w:divBdr>
    </w:div>
    <w:div w:id="695696787">
      <w:bodyDiv w:val="1"/>
      <w:marLeft w:val="0"/>
      <w:marRight w:val="0"/>
      <w:marTop w:val="0"/>
      <w:marBottom w:val="0"/>
      <w:divBdr>
        <w:top w:val="none" w:sz="0" w:space="0" w:color="auto"/>
        <w:left w:val="none" w:sz="0" w:space="0" w:color="auto"/>
        <w:bottom w:val="none" w:sz="0" w:space="0" w:color="auto"/>
        <w:right w:val="none" w:sz="0" w:space="0" w:color="auto"/>
      </w:divBdr>
    </w:div>
    <w:div w:id="700130029">
      <w:bodyDiv w:val="1"/>
      <w:marLeft w:val="0"/>
      <w:marRight w:val="0"/>
      <w:marTop w:val="0"/>
      <w:marBottom w:val="0"/>
      <w:divBdr>
        <w:top w:val="none" w:sz="0" w:space="0" w:color="auto"/>
        <w:left w:val="none" w:sz="0" w:space="0" w:color="auto"/>
        <w:bottom w:val="none" w:sz="0" w:space="0" w:color="auto"/>
        <w:right w:val="none" w:sz="0" w:space="0" w:color="auto"/>
      </w:divBdr>
    </w:div>
    <w:div w:id="713890269">
      <w:bodyDiv w:val="1"/>
      <w:marLeft w:val="0"/>
      <w:marRight w:val="0"/>
      <w:marTop w:val="0"/>
      <w:marBottom w:val="0"/>
      <w:divBdr>
        <w:top w:val="none" w:sz="0" w:space="0" w:color="auto"/>
        <w:left w:val="none" w:sz="0" w:space="0" w:color="auto"/>
        <w:bottom w:val="none" w:sz="0" w:space="0" w:color="auto"/>
        <w:right w:val="none" w:sz="0" w:space="0" w:color="auto"/>
      </w:divBdr>
    </w:div>
    <w:div w:id="715470664">
      <w:bodyDiv w:val="1"/>
      <w:marLeft w:val="0"/>
      <w:marRight w:val="0"/>
      <w:marTop w:val="0"/>
      <w:marBottom w:val="0"/>
      <w:divBdr>
        <w:top w:val="none" w:sz="0" w:space="0" w:color="auto"/>
        <w:left w:val="none" w:sz="0" w:space="0" w:color="auto"/>
        <w:bottom w:val="none" w:sz="0" w:space="0" w:color="auto"/>
        <w:right w:val="none" w:sz="0" w:space="0" w:color="auto"/>
      </w:divBdr>
    </w:div>
    <w:div w:id="734007323">
      <w:bodyDiv w:val="1"/>
      <w:marLeft w:val="0"/>
      <w:marRight w:val="0"/>
      <w:marTop w:val="0"/>
      <w:marBottom w:val="0"/>
      <w:divBdr>
        <w:top w:val="none" w:sz="0" w:space="0" w:color="auto"/>
        <w:left w:val="none" w:sz="0" w:space="0" w:color="auto"/>
        <w:bottom w:val="none" w:sz="0" w:space="0" w:color="auto"/>
        <w:right w:val="none" w:sz="0" w:space="0" w:color="auto"/>
      </w:divBdr>
    </w:div>
    <w:div w:id="741224251">
      <w:bodyDiv w:val="1"/>
      <w:marLeft w:val="0"/>
      <w:marRight w:val="0"/>
      <w:marTop w:val="0"/>
      <w:marBottom w:val="0"/>
      <w:divBdr>
        <w:top w:val="none" w:sz="0" w:space="0" w:color="auto"/>
        <w:left w:val="none" w:sz="0" w:space="0" w:color="auto"/>
        <w:bottom w:val="none" w:sz="0" w:space="0" w:color="auto"/>
        <w:right w:val="none" w:sz="0" w:space="0" w:color="auto"/>
      </w:divBdr>
    </w:div>
    <w:div w:id="745372868">
      <w:bodyDiv w:val="1"/>
      <w:marLeft w:val="0"/>
      <w:marRight w:val="0"/>
      <w:marTop w:val="0"/>
      <w:marBottom w:val="0"/>
      <w:divBdr>
        <w:top w:val="none" w:sz="0" w:space="0" w:color="auto"/>
        <w:left w:val="none" w:sz="0" w:space="0" w:color="auto"/>
        <w:bottom w:val="none" w:sz="0" w:space="0" w:color="auto"/>
        <w:right w:val="none" w:sz="0" w:space="0" w:color="auto"/>
      </w:divBdr>
      <w:divsChild>
        <w:div w:id="286787736">
          <w:marLeft w:val="806"/>
          <w:marRight w:val="0"/>
          <w:marTop w:val="115"/>
          <w:marBottom w:val="0"/>
          <w:divBdr>
            <w:top w:val="none" w:sz="0" w:space="0" w:color="auto"/>
            <w:left w:val="none" w:sz="0" w:space="0" w:color="auto"/>
            <w:bottom w:val="none" w:sz="0" w:space="0" w:color="auto"/>
            <w:right w:val="none" w:sz="0" w:space="0" w:color="auto"/>
          </w:divBdr>
        </w:div>
        <w:div w:id="687483815">
          <w:marLeft w:val="1166"/>
          <w:marRight w:val="0"/>
          <w:marTop w:val="96"/>
          <w:marBottom w:val="0"/>
          <w:divBdr>
            <w:top w:val="none" w:sz="0" w:space="0" w:color="auto"/>
            <w:left w:val="none" w:sz="0" w:space="0" w:color="auto"/>
            <w:bottom w:val="none" w:sz="0" w:space="0" w:color="auto"/>
            <w:right w:val="none" w:sz="0" w:space="0" w:color="auto"/>
          </w:divBdr>
        </w:div>
      </w:divsChild>
    </w:div>
    <w:div w:id="745567756">
      <w:bodyDiv w:val="1"/>
      <w:marLeft w:val="0"/>
      <w:marRight w:val="0"/>
      <w:marTop w:val="0"/>
      <w:marBottom w:val="0"/>
      <w:divBdr>
        <w:top w:val="none" w:sz="0" w:space="0" w:color="auto"/>
        <w:left w:val="none" w:sz="0" w:space="0" w:color="auto"/>
        <w:bottom w:val="none" w:sz="0" w:space="0" w:color="auto"/>
        <w:right w:val="none" w:sz="0" w:space="0" w:color="auto"/>
      </w:divBdr>
    </w:div>
    <w:div w:id="891575012">
      <w:bodyDiv w:val="1"/>
      <w:marLeft w:val="0"/>
      <w:marRight w:val="0"/>
      <w:marTop w:val="0"/>
      <w:marBottom w:val="0"/>
      <w:divBdr>
        <w:top w:val="none" w:sz="0" w:space="0" w:color="auto"/>
        <w:left w:val="none" w:sz="0" w:space="0" w:color="auto"/>
        <w:bottom w:val="none" w:sz="0" w:space="0" w:color="auto"/>
        <w:right w:val="none" w:sz="0" w:space="0" w:color="auto"/>
      </w:divBdr>
    </w:div>
    <w:div w:id="910233072">
      <w:bodyDiv w:val="1"/>
      <w:marLeft w:val="0"/>
      <w:marRight w:val="0"/>
      <w:marTop w:val="0"/>
      <w:marBottom w:val="0"/>
      <w:divBdr>
        <w:top w:val="none" w:sz="0" w:space="0" w:color="auto"/>
        <w:left w:val="none" w:sz="0" w:space="0" w:color="auto"/>
        <w:bottom w:val="none" w:sz="0" w:space="0" w:color="auto"/>
        <w:right w:val="none" w:sz="0" w:space="0" w:color="auto"/>
      </w:divBdr>
    </w:div>
    <w:div w:id="941647124">
      <w:bodyDiv w:val="1"/>
      <w:marLeft w:val="0"/>
      <w:marRight w:val="0"/>
      <w:marTop w:val="0"/>
      <w:marBottom w:val="0"/>
      <w:divBdr>
        <w:top w:val="none" w:sz="0" w:space="0" w:color="auto"/>
        <w:left w:val="none" w:sz="0" w:space="0" w:color="auto"/>
        <w:bottom w:val="none" w:sz="0" w:space="0" w:color="auto"/>
        <w:right w:val="none" w:sz="0" w:space="0" w:color="auto"/>
      </w:divBdr>
    </w:div>
    <w:div w:id="959382592">
      <w:bodyDiv w:val="1"/>
      <w:marLeft w:val="0"/>
      <w:marRight w:val="0"/>
      <w:marTop w:val="0"/>
      <w:marBottom w:val="0"/>
      <w:divBdr>
        <w:top w:val="none" w:sz="0" w:space="0" w:color="auto"/>
        <w:left w:val="none" w:sz="0" w:space="0" w:color="auto"/>
        <w:bottom w:val="none" w:sz="0" w:space="0" w:color="auto"/>
        <w:right w:val="none" w:sz="0" w:space="0" w:color="auto"/>
      </w:divBdr>
    </w:div>
    <w:div w:id="985162080">
      <w:bodyDiv w:val="1"/>
      <w:marLeft w:val="0"/>
      <w:marRight w:val="0"/>
      <w:marTop w:val="0"/>
      <w:marBottom w:val="0"/>
      <w:divBdr>
        <w:top w:val="none" w:sz="0" w:space="0" w:color="auto"/>
        <w:left w:val="none" w:sz="0" w:space="0" w:color="auto"/>
        <w:bottom w:val="none" w:sz="0" w:space="0" w:color="auto"/>
        <w:right w:val="none" w:sz="0" w:space="0" w:color="auto"/>
      </w:divBdr>
    </w:div>
    <w:div w:id="1007558207">
      <w:bodyDiv w:val="1"/>
      <w:marLeft w:val="0"/>
      <w:marRight w:val="0"/>
      <w:marTop w:val="0"/>
      <w:marBottom w:val="0"/>
      <w:divBdr>
        <w:top w:val="none" w:sz="0" w:space="0" w:color="auto"/>
        <w:left w:val="none" w:sz="0" w:space="0" w:color="auto"/>
        <w:bottom w:val="none" w:sz="0" w:space="0" w:color="auto"/>
        <w:right w:val="none" w:sz="0" w:space="0" w:color="auto"/>
      </w:divBdr>
    </w:div>
    <w:div w:id="1021780201">
      <w:bodyDiv w:val="1"/>
      <w:marLeft w:val="0"/>
      <w:marRight w:val="0"/>
      <w:marTop w:val="0"/>
      <w:marBottom w:val="0"/>
      <w:divBdr>
        <w:top w:val="none" w:sz="0" w:space="0" w:color="auto"/>
        <w:left w:val="none" w:sz="0" w:space="0" w:color="auto"/>
        <w:bottom w:val="none" w:sz="0" w:space="0" w:color="auto"/>
        <w:right w:val="none" w:sz="0" w:space="0" w:color="auto"/>
      </w:divBdr>
    </w:div>
    <w:div w:id="1076825268">
      <w:bodyDiv w:val="1"/>
      <w:marLeft w:val="0"/>
      <w:marRight w:val="0"/>
      <w:marTop w:val="0"/>
      <w:marBottom w:val="0"/>
      <w:divBdr>
        <w:top w:val="none" w:sz="0" w:space="0" w:color="auto"/>
        <w:left w:val="none" w:sz="0" w:space="0" w:color="auto"/>
        <w:bottom w:val="none" w:sz="0" w:space="0" w:color="auto"/>
        <w:right w:val="none" w:sz="0" w:space="0" w:color="auto"/>
      </w:divBdr>
    </w:div>
    <w:div w:id="1082144979">
      <w:bodyDiv w:val="1"/>
      <w:marLeft w:val="0"/>
      <w:marRight w:val="0"/>
      <w:marTop w:val="0"/>
      <w:marBottom w:val="0"/>
      <w:divBdr>
        <w:top w:val="none" w:sz="0" w:space="0" w:color="auto"/>
        <w:left w:val="none" w:sz="0" w:space="0" w:color="auto"/>
        <w:bottom w:val="none" w:sz="0" w:space="0" w:color="auto"/>
        <w:right w:val="none" w:sz="0" w:space="0" w:color="auto"/>
      </w:divBdr>
    </w:div>
    <w:div w:id="1117725019">
      <w:bodyDiv w:val="1"/>
      <w:marLeft w:val="0"/>
      <w:marRight w:val="0"/>
      <w:marTop w:val="0"/>
      <w:marBottom w:val="0"/>
      <w:divBdr>
        <w:top w:val="none" w:sz="0" w:space="0" w:color="auto"/>
        <w:left w:val="none" w:sz="0" w:space="0" w:color="auto"/>
        <w:bottom w:val="none" w:sz="0" w:space="0" w:color="auto"/>
        <w:right w:val="none" w:sz="0" w:space="0" w:color="auto"/>
      </w:divBdr>
    </w:div>
    <w:div w:id="1118331917">
      <w:bodyDiv w:val="1"/>
      <w:marLeft w:val="0"/>
      <w:marRight w:val="0"/>
      <w:marTop w:val="0"/>
      <w:marBottom w:val="0"/>
      <w:divBdr>
        <w:top w:val="none" w:sz="0" w:space="0" w:color="auto"/>
        <w:left w:val="none" w:sz="0" w:space="0" w:color="auto"/>
        <w:bottom w:val="none" w:sz="0" w:space="0" w:color="auto"/>
        <w:right w:val="none" w:sz="0" w:space="0" w:color="auto"/>
      </w:divBdr>
    </w:div>
    <w:div w:id="1175459572">
      <w:bodyDiv w:val="1"/>
      <w:marLeft w:val="0"/>
      <w:marRight w:val="0"/>
      <w:marTop w:val="0"/>
      <w:marBottom w:val="0"/>
      <w:divBdr>
        <w:top w:val="none" w:sz="0" w:space="0" w:color="auto"/>
        <w:left w:val="none" w:sz="0" w:space="0" w:color="auto"/>
        <w:bottom w:val="none" w:sz="0" w:space="0" w:color="auto"/>
        <w:right w:val="none" w:sz="0" w:space="0" w:color="auto"/>
      </w:divBdr>
    </w:div>
    <w:div w:id="1205481090">
      <w:bodyDiv w:val="1"/>
      <w:marLeft w:val="0"/>
      <w:marRight w:val="0"/>
      <w:marTop w:val="0"/>
      <w:marBottom w:val="0"/>
      <w:divBdr>
        <w:top w:val="none" w:sz="0" w:space="0" w:color="auto"/>
        <w:left w:val="none" w:sz="0" w:space="0" w:color="auto"/>
        <w:bottom w:val="none" w:sz="0" w:space="0" w:color="auto"/>
        <w:right w:val="none" w:sz="0" w:space="0" w:color="auto"/>
      </w:divBdr>
    </w:div>
    <w:div w:id="1209684549">
      <w:bodyDiv w:val="1"/>
      <w:marLeft w:val="0"/>
      <w:marRight w:val="0"/>
      <w:marTop w:val="0"/>
      <w:marBottom w:val="0"/>
      <w:divBdr>
        <w:top w:val="none" w:sz="0" w:space="0" w:color="auto"/>
        <w:left w:val="none" w:sz="0" w:space="0" w:color="auto"/>
        <w:bottom w:val="none" w:sz="0" w:space="0" w:color="auto"/>
        <w:right w:val="none" w:sz="0" w:space="0" w:color="auto"/>
      </w:divBdr>
    </w:div>
    <w:div w:id="1222867278">
      <w:bodyDiv w:val="1"/>
      <w:marLeft w:val="0"/>
      <w:marRight w:val="0"/>
      <w:marTop w:val="0"/>
      <w:marBottom w:val="0"/>
      <w:divBdr>
        <w:top w:val="none" w:sz="0" w:space="0" w:color="auto"/>
        <w:left w:val="none" w:sz="0" w:space="0" w:color="auto"/>
        <w:bottom w:val="none" w:sz="0" w:space="0" w:color="auto"/>
        <w:right w:val="none" w:sz="0" w:space="0" w:color="auto"/>
      </w:divBdr>
    </w:div>
    <w:div w:id="1259676848">
      <w:bodyDiv w:val="1"/>
      <w:marLeft w:val="0"/>
      <w:marRight w:val="0"/>
      <w:marTop w:val="0"/>
      <w:marBottom w:val="0"/>
      <w:divBdr>
        <w:top w:val="none" w:sz="0" w:space="0" w:color="auto"/>
        <w:left w:val="none" w:sz="0" w:space="0" w:color="auto"/>
        <w:bottom w:val="none" w:sz="0" w:space="0" w:color="auto"/>
        <w:right w:val="none" w:sz="0" w:space="0" w:color="auto"/>
      </w:divBdr>
    </w:div>
    <w:div w:id="1271205507">
      <w:bodyDiv w:val="1"/>
      <w:marLeft w:val="0"/>
      <w:marRight w:val="0"/>
      <w:marTop w:val="0"/>
      <w:marBottom w:val="0"/>
      <w:divBdr>
        <w:top w:val="none" w:sz="0" w:space="0" w:color="auto"/>
        <w:left w:val="none" w:sz="0" w:space="0" w:color="auto"/>
        <w:bottom w:val="none" w:sz="0" w:space="0" w:color="auto"/>
        <w:right w:val="none" w:sz="0" w:space="0" w:color="auto"/>
      </w:divBdr>
    </w:div>
    <w:div w:id="1279601164">
      <w:bodyDiv w:val="1"/>
      <w:marLeft w:val="0"/>
      <w:marRight w:val="0"/>
      <w:marTop w:val="0"/>
      <w:marBottom w:val="0"/>
      <w:divBdr>
        <w:top w:val="none" w:sz="0" w:space="0" w:color="auto"/>
        <w:left w:val="none" w:sz="0" w:space="0" w:color="auto"/>
        <w:bottom w:val="none" w:sz="0" w:space="0" w:color="auto"/>
        <w:right w:val="none" w:sz="0" w:space="0" w:color="auto"/>
      </w:divBdr>
    </w:div>
    <w:div w:id="1279873848">
      <w:bodyDiv w:val="1"/>
      <w:marLeft w:val="0"/>
      <w:marRight w:val="0"/>
      <w:marTop w:val="0"/>
      <w:marBottom w:val="0"/>
      <w:divBdr>
        <w:top w:val="none" w:sz="0" w:space="0" w:color="auto"/>
        <w:left w:val="none" w:sz="0" w:space="0" w:color="auto"/>
        <w:bottom w:val="none" w:sz="0" w:space="0" w:color="auto"/>
        <w:right w:val="none" w:sz="0" w:space="0" w:color="auto"/>
      </w:divBdr>
    </w:div>
    <w:div w:id="1285309438">
      <w:bodyDiv w:val="1"/>
      <w:marLeft w:val="0"/>
      <w:marRight w:val="0"/>
      <w:marTop w:val="0"/>
      <w:marBottom w:val="0"/>
      <w:divBdr>
        <w:top w:val="none" w:sz="0" w:space="0" w:color="auto"/>
        <w:left w:val="none" w:sz="0" w:space="0" w:color="auto"/>
        <w:bottom w:val="none" w:sz="0" w:space="0" w:color="auto"/>
        <w:right w:val="none" w:sz="0" w:space="0" w:color="auto"/>
      </w:divBdr>
    </w:div>
    <w:div w:id="1307315210">
      <w:bodyDiv w:val="1"/>
      <w:marLeft w:val="0"/>
      <w:marRight w:val="0"/>
      <w:marTop w:val="0"/>
      <w:marBottom w:val="0"/>
      <w:divBdr>
        <w:top w:val="none" w:sz="0" w:space="0" w:color="auto"/>
        <w:left w:val="none" w:sz="0" w:space="0" w:color="auto"/>
        <w:bottom w:val="none" w:sz="0" w:space="0" w:color="auto"/>
        <w:right w:val="none" w:sz="0" w:space="0" w:color="auto"/>
      </w:divBdr>
    </w:div>
    <w:div w:id="1315523062">
      <w:bodyDiv w:val="1"/>
      <w:marLeft w:val="0"/>
      <w:marRight w:val="0"/>
      <w:marTop w:val="0"/>
      <w:marBottom w:val="0"/>
      <w:divBdr>
        <w:top w:val="none" w:sz="0" w:space="0" w:color="auto"/>
        <w:left w:val="none" w:sz="0" w:space="0" w:color="auto"/>
        <w:bottom w:val="none" w:sz="0" w:space="0" w:color="auto"/>
        <w:right w:val="none" w:sz="0" w:space="0" w:color="auto"/>
      </w:divBdr>
    </w:div>
    <w:div w:id="1330253169">
      <w:bodyDiv w:val="1"/>
      <w:marLeft w:val="0"/>
      <w:marRight w:val="0"/>
      <w:marTop w:val="0"/>
      <w:marBottom w:val="0"/>
      <w:divBdr>
        <w:top w:val="none" w:sz="0" w:space="0" w:color="auto"/>
        <w:left w:val="none" w:sz="0" w:space="0" w:color="auto"/>
        <w:bottom w:val="none" w:sz="0" w:space="0" w:color="auto"/>
        <w:right w:val="none" w:sz="0" w:space="0" w:color="auto"/>
      </w:divBdr>
    </w:div>
    <w:div w:id="1358967607">
      <w:bodyDiv w:val="1"/>
      <w:marLeft w:val="0"/>
      <w:marRight w:val="0"/>
      <w:marTop w:val="0"/>
      <w:marBottom w:val="0"/>
      <w:divBdr>
        <w:top w:val="none" w:sz="0" w:space="0" w:color="auto"/>
        <w:left w:val="none" w:sz="0" w:space="0" w:color="auto"/>
        <w:bottom w:val="none" w:sz="0" w:space="0" w:color="auto"/>
        <w:right w:val="none" w:sz="0" w:space="0" w:color="auto"/>
      </w:divBdr>
    </w:div>
    <w:div w:id="1364213557">
      <w:bodyDiv w:val="1"/>
      <w:marLeft w:val="0"/>
      <w:marRight w:val="0"/>
      <w:marTop w:val="0"/>
      <w:marBottom w:val="0"/>
      <w:divBdr>
        <w:top w:val="none" w:sz="0" w:space="0" w:color="auto"/>
        <w:left w:val="none" w:sz="0" w:space="0" w:color="auto"/>
        <w:bottom w:val="none" w:sz="0" w:space="0" w:color="auto"/>
        <w:right w:val="none" w:sz="0" w:space="0" w:color="auto"/>
      </w:divBdr>
    </w:div>
    <w:div w:id="1452700603">
      <w:bodyDiv w:val="1"/>
      <w:marLeft w:val="0"/>
      <w:marRight w:val="0"/>
      <w:marTop w:val="0"/>
      <w:marBottom w:val="0"/>
      <w:divBdr>
        <w:top w:val="none" w:sz="0" w:space="0" w:color="auto"/>
        <w:left w:val="none" w:sz="0" w:space="0" w:color="auto"/>
        <w:bottom w:val="none" w:sz="0" w:space="0" w:color="auto"/>
        <w:right w:val="none" w:sz="0" w:space="0" w:color="auto"/>
      </w:divBdr>
    </w:div>
    <w:div w:id="1474325831">
      <w:bodyDiv w:val="1"/>
      <w:marLeft w:val="0"/>
      <w:marRight w:val="0"/>
      <w:marTop w:val="0"/>
      <w:marBottom w:val="0"/>
      <w:divBdr>
        <w:top w:val="none" w:sz="0" w:space="0" w:color="auto"/>
        <w:left w:val="none" w:sz="0" w:space="0" w:color="auto"/>
        <w:bottom w:val="none" w:sz="0" w:space="0" w:color="auto"/>
        <w:right w:val="none" w:sz="0" w:space="0" w:color="auto"/>
      </w:divBdr>
    </w:div>
    <w:div w:id="1522281517">
      <w:bodyDiv w:val="1"/>
      <w:marLeft w:val="0"/>
      <w:marRight w:val="0"/>
      <w:marTop w:val="0"/>
      <w:marBottom w:val="0"/>
      <w:divBdr>
        <w:top w:val="none" w:sz="0" w:space="0" w:color="auto"/>
        <w:left w:val="none" w:sz="0" w:space="0" w:color="auto"/>
        <w:bottom w:val="none" w:sz="0" w:space="0" w:color="auto"/>
        <w:right w:val="none" w:sz="0" w:space="0" w:color="auto"/>
      </w:divBdr>
    </w:div>
    <w:div w:id="1541438654">
      <w:bodyDiv w:val="1"/>
      <w:marLeft w:val="0"/>
      <w:marRight w:val="0"/>
      <w:marTop w:val="0"/>
      <w:marBottom w:val="0"/>
      <w:divBdr>
        <w:top w:val="none" w:sz="0" w:space="0" w:color="auto"/>
        <w:left w:val="none" w:sz="0" w:space="0" w:color="auto"/>
        <w:bottom w:val="none" w:sz="0" w:space="0" w:color="auto"/>
        <w:right w:val="none" w:sz="0" w:space="0" w:color="auto"/>
      </w:divBdr>
    </w:div>
    <w:div w:id="1556353580">
      <w:bodyDiv w:val="1"/>
      <w:marLeft w:val="0"/>
      <w:marRight w:val="0"/>
      <w:marTop w:val="0"/>
      <w:marBottom w:val="0"/>
      <w:divBdr>
        <w:top w:val="none" w:sz="0" w:space="0" w:color="auto"/>
        <w:left w:val="none" w:sz="0" w:space="0" w:color="auto"/>
        <w:bottom w:val="none" w:sz="0" w:space="0" w:color="auto"/>
        <w:right w:val="none" w:sz="0" w:space="0" w:color="auto"/>
      </w:divBdr>
    </w:div>
    <w:div w:id="1559590541">
      <w:bodyDiv w:val="1"/>
      <w:marLeft w:val="0"/>
      <w:marRight w:val="0"/>
      <w:marTop w:val="0"/>
      <w:marBottom w:val="0"/>
      <w:divBdr>
        <w:top w:val="none" w:sz="0" w:space="0" w:color="auto"/>
        <w:left w:val="none" w:sz="0" w:space="0" w:color="auto"/>
        <w:bottom w:val="none" w:sz="0" w:space="0" w:color="auto"/>
        <w:right w:val="none" w:sz="0" w:space="0" w:color="auto"/>
      </w:divBdr>
    </w:div>
    <w:div w:id="1651862407">
      <w:bodyDiv w:val="1"/>
      <w:marLeft w:val="0"/>
      <w:marRight w:val="0"/>
      <w:marTop w:val="0"/>
      <w:marBottom w:val="0"/>
      <w:divBdr>
        <w:top w:val="none" w:sz="0" w:space="0" w:color="auto"/>
        <w:left w:val="none" w:sz="0" w:space="0" w:color="auto"/>
        <w:bottom w:val="none" w:sz="0" w:space="0" w:color="auto"/>
        <w:right w:val="none" w:sz="0" w:space="0" w:color="auto"/>
      </w:divBdr>
    </w:div>
    <w:div w:id="1653370360">
      <w:bodyDiv w:val="1"/>
      <w:marLeft w:val="0"/>
      <w:marRight w:val="0"/>
      <w:marTop w:val="0"/>
      <w:marBottom w:val="0"/>
      <w:divBdr>
        <w:top w:val="none" w:sz="0" w:space="0" w:color="auto"/>
        <w:left w:val="none" w:sz="0" w:space="0" w:color="auto"/>
        <w:bottom w:val="none" w:sz="0" w:space="0" w:color="auto"/>
        <w:right w:val="none" w:sz="0" w:space="0" w:color="auto"/>
      </w:divBdr>
    </w:div>
    <w:div w:id="1661494245">
      <w:bodyDiv w:val="1"/>
      <w:marLeft w:val="0"/>
      <w:marRight w:val="0"/>
      <w:marTop w:val="0"/>
      <w:marBottom w:val="0"/>
      <w:divBdr>
        <w:top w:val="none" w:sz="0" w:space="0" w:color="auto"/>
        <w:left w:val="none" w:sz="0" w:space="0" w:color="auto"/>
        <w:bottom w:val="none" w:sz="0" w:space="0" w:color="auto"/>
        <w:right w:val="none" w:sz="0" w:space="0" w:color="auto"/>
      </w:divBdr>
    </w:div>
    <w:div w:id="1697928142">
      <w:bodyDiv w:val="1"/>
      <w:marLeft w:val="0"/>
      <w:marRight w:val="0"/>
      <w:marTop w:val="0"/>
      <w:marBottom w:val="0"/>
      <w:divBdr>
        <w:top w:val="none" w:sz="0" w:space="0" w:color="auto"/>
        <w:left w:val="none" w:sz="0" w:space="0" w:color="auto"/>
        <w:bottom w:val="none" w:sz="0" w:space="0" w:color="auto"/>
        <w:right w:val="none" w:sz="0" w:space="0" w:color="auto"/>
      </w:divBdr>
    </w:div>
    <w:div w:id="1778867490">
      <w:bodyDiv w:val="1"/>
      <w:marLeft w:val="0"/>
      <w:marRight w:val="0"/>
      <w:marTop w:val="0"/>
      <w:marBottom w:val="0"/>
      <w:divBdr>
        <w:top w:val="none" w:sz="0" w:space="0" w:color="auto"/>
        <w:left w:val="none" w:sz="0" w:space="0" w:color="auto"/>
        <w:bottom w:val="none" w:sz="0" w:space="0" w:color="auto"/>
        <w:right w:val="none" w:sz="0" w:space="0" w:color="auto"/>
      </w:divBdr>
    </w:div>
    <w:div w:id="1786775682">
      <w:bodyDiv w:val="1"/>
      <w:marLeft w:val="0"/>
      <w:marRight w:val="0"/>
      <w:marTop w:val="0"/>
      <w:marBottom w:val="0"/>
      <w:divBdr>
        <w:top w:val="none" w:sz="0" w:space="0" w:color="auto"/>
        <w:left w:val="none" w:sz="0" w:space="0" w:color="auto"/>
        <w:bottom w:val="none" w:sz="0" w:space="0" w:color="auto"/>
        <w:right w:val="none" w:sz="0" w:space="0" w:color="auto"/>
      </w:divBdr>
    </w:div>
    <w:div w:id="1805998349">
      <w:bodyDiv w:val="1"/>
      <w:marLeft w:val="0"/>
      <w:marRight w:val="0"/>
      <w:marTop w:val="0"/>
      <w:marBottom w:val="0"/>
      <w:divBdr>
        <w:top w:val="none" w:sz="0" w:space="0" w:color="auto"/>
        <w:left w:val="none" w:sz="0" w:space="0" w:color="auto"/>
        <w:bottom w:val="none" w:sz="0" w:space="0" w:color="auto"/>
        <w:right w:val="none" w:sz="0" w:space="0" w:color="auto"/>
      </w:divBdr>
    </w:div>
    <w:div w:id="1816336896">
      <w:bodyDiv w:val="1"/>
      <w:marLeft w:val="0"/>
      <w:marRight w:val="0"/>
      <w:marTop w:val="0"/>
      <w:marBottom w:val="0"/>
      <w:divBdr>
        <w:top w:val="none" w:sz="0" w:space="0" w:color="auto"/>
        <w:left w:val="none" w:sz="0" w:space="0" w:color="auto"/>
        <w:bottom w:val="none" w:sz="0" w:space="0" w:color="auto"/>
        <w:right w:val="none" w:sz="0" w:space="0" w:color="auto"/>
      </w:divBdr>
    </w:div>
    <w:div w:id="1817532257">
      <w:bodyDiv w:val="1"/>
      <w:marLeft w:val="0"/>
      <w:marRight w:val="0"/>
      <w:marTop w:val="0"/>
      <w:marBottom w:val="0"/>
      <w:divBdr>
        <w:top w:val="none" w:sz="0" w:space="0" w:color="auto"/>
        <w:left w:val="none" w:sz="0" w:space="0" w:color="auto"/>
        <w:bottom w:val="none" w:sz="0" w:space="0" w:color="auto"/>
        <w:right w:val="none" w:sz="0" w:space="0" w:color="auto"/>
      </w:divBdr>
    </w:div>
    <w:div w:id="1820685485">
      <w:bodyDiv w:val="1"/>
      <w:marLeft w:val="0"/>
      <w:marRight w:val="0"/>
      <w:marTop w:val="0"/>
      <w:marBottom w:val="0"/>
      <w:divBdr>
        <w:top w:val="none" w:sz="0" w:space="0" w:color="auto"/>
        <w:left w:val="none" w:sz="0" w:space="0" w:color="auto"/>
        <w:bottom w:val="none" w:sz="0" w:space="0" w:color="auto"/>
        <w:right w:val="none" w:sz="0" w:space="0" w:color="auto"/>
      </w:divBdr>
    </w:div>
    <w:div w:id="1826049593">
      <w:bodyDiv w:val="1"/>
      <w:marLeft w:val="0"/>
      <w:marRight w:val="0"/>
      <w:marTop w:val="0"/>
      <w:marBottom w:val="0"/>
      <w:divBdr>
        <w:top w:val="none" w:sz="0" w:space="0" w:color="auto"/>
        <w:left w:val="none" w:sz="0" w:space="0" w:color="auto"/>
        <w:bottom w:val="none" w:sz="0" w:space="0" w:color="auto"/>
        <w:right w:val="none" w:sz="0" w:space="0" w:color="auto"/>
      </w:divBdr>
    </w:div>
    <w:div w:id="1851142438">
      <w:bodyDiv w:val="1"/>
      <w:marLeft w:val="0"/>
      <w:marRight w:val="0"/>
      <w:marTop w:val="0"/>
      <w:marBottom w:val="0"/>
      <w:divBdr>
        <w:top w:val="none" w:sz="0" w:space="0" w:color="auto"/>
        <w:left w:val="none" w:sz="0" w:space="0" w:color="auto"/>
        <w:bottom w:val="none" w:sz="0" w:space="0" w:color="auto"/>
        <w:right w:val="none" w:sz="0" w:space="0" w:color="auto"/>
      </w:divBdr>
    </w:div>
    <w:div w:id="1866671912">
      <w:bodyDiv w:val="1"/>
      <w:marLeft w:val="0"/>
      <w:marRight w:val="0"/>
      <w:marTop w:val="0"/>
      <w:marBottom w:val="0"/>
      <w:divBdr>
        <w:top w:val="none" w:sz="0" w:space="0" w:color="auto"/>
        <w:left w:val="none" w:sz="0" w:space="0" w:color="auto"/>
        <w:bottom w:val="none" w:sz="0" w:space="0" w:color="auto"/>
        <w:right w:val="none" w:sz="0" w:space="0" w:color="auto"/>
      </w:divBdr>
    </w:div>
    <w:div w:id="1934046285">
      <w:bodyDiv w:val="1"/>
      <w:marLeft w:val="0"/>
      <w:marRight w:val="0"/>
      <w:marTop w:val="0"/>
      <w:marBottom w:val="0"/>
      <w:divBdr>
        <w:top w:val="none" w:sz="0" w:space="0" w:color="auto"/>
        <w:left w:val="none" w:sz="0" w:space="0" w:color="auto"/>
        <w:bottom w:val="none" w:sz="0" w:space="0" w:color="auto"/>
        <w:right w:val="none" w:sz="0" w:space="0" w:color="auto"/>
      </w:divBdr>
    </w:div>
    <w:div w:id="1969161128">
      <w:bodyDiv w:val="1"/>
      <w:marLeft w:val="0"/>
      <w:marRight w:val="0"/>
      <w:marTop w:val="0"/>
      <w:marBottom w:val="0"/>
      <w:divBdr>
        <w:top w:val="none" w:sz="0" w:space="0" w:color="auto"/>
        <w:left w:val="none" w:sz="0" w:space="0" w:color="auto"/>
        <w:bottom w:val="none" w:sz="0" w:space="0" w:color="auto"/>
        <w:right w:val="none" w:sz="0" w:space="0" w:color="auto"/>
      </w:divBdr>
    </w:div>
    <w:div w:id="1976446716">
      <w:bodyDiv w:val="1"/>
      <w:marLeft w:val="0"/>
      <w:marRight w:val="0"/>
      <w:marTop w:val="0"/>
      <w:marBottom w:val="0"/>
      <w:divBdr>
        <w:top w:val="none" w:sz="0" w:space="0" w:color="auto"/>
        <w:left w:val="none" w:sz="0" w:space="0" w:color="auto"/>
        <w:bottom w:val="none" w:sz="0" w:space="0" w:color="auto"/>
        <w:right w:val="none" w:sz="0" w:space="0" w:color="auto"/>
      </w:divBdr>
    </w:div>
    <w:div w:id="2034718922">
      <w:bodyDiv w:val="1"/>
      <w:marLeft w:val="0"/>
      <w:marRight w:val="0"/>
      <w:marTop w:val="0"/>
      <w:marBottom w:val="0"/>
      <w:divBdr>
        <w:top w:val="none" w:sz="0" w:space="0" w:color="auto"/>
        <w:left w:val="none" w:sz="0" w:space="0" w:color="auto"/>
        <w:bottom w:val="none" w:sz="0" w:space="0" w:color="auto"/>
        <w:right w:val="none" w:sz="0" w:space="0" w:color="auto"/>
      </w:divBdr>
    </w:div>
    <w:div w:id="2055347496">
      <w:bodyDiv w:val="1"/>
      <w:marLeft w:val="0"/>
      <w:marRight w:val="0"/>
      <w:marTop w:val="0"/>
      <w:marBottom w:val="0"/>
      <w:divBdr>
        <w:top w:val="none" w:sz="0" w:space="0" w:color="auto"/>
        <w:left w:val="none" w:sz="0" w:space="0" w:color="auto"/>
        <w:bottom w:val="none" w:sz="0" w:space="0" w:color="auto"/>
        <w:right w:val="none" w:sz="0" w:space="0" w:color="auto"/>
      </w:divBdr>
    </w:div>
    <w:div w:id="2056806564">
      <w:bodyDiv w:val="1"/>
      <w:marLeft w:val="0"/>
      <w:marRight w:val="0"/>
      <w:marTop w:val="0"/>
      <w:marBottom w:val="0"/>
      <w:divBdr>
        <w:top w:val="none" w:sz="0" w:space="0" w:color="auto"/>
        <w:left w:val="none" w:sz="0" w:space="0" w:color="auto"/>
        <w:bottom w:val="none" w:sz="0" w:space="0" w:color="auto"/>
        <w:right w:val="none" w:sz="0" w:space="0" w:color="auto"/>
      </w:divBdr>
    </w:div>
    <w:div w:id="2082628791">
      <w:bodyDiv w:val="1"/>
      <w:marLeft w:val="0"/>
      <w:marRight w:val="0"/>
      <w:marTop w:val="0"/>
      <w:marBottom w:val="0"/>
      <w:divBdr>
        <w:top w:val="none" w:sz="0" w:space="0" w:color="auto"/>
        <w:left w:val="none" w:sz="0" w:space="0" w:color="auto"/>
        <w:bottom w:val="none" w:sz="0" w:space="0" w:color="auto"/>
        <w:right w:val="none" w:sz="0" w:space="0" w:color="auto"/>
      </w:divBdr>
    </w:div>
    <w:div w:id="2108768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ph-uio.uhad.no/ephorte/locator/?SHOW=SA&amp;SA_ID=173307&amp;database=EPHORTE-UIO" TargetMode="External"/><Relationship Id="rId7" Type="http://schemas.openxmlformats.org/officeDocument/2006/relationships/hyperlink" Target="https://eph-uio.uhad.no/ephorte/shared/aspx/default/details.aspx?f=ViewJP&amp;JP_ID=403195" TargetMode="External"/><Relationship Id="rId2" Type="http://schemas.openxmlformats.org/officeDocument/2006/relationships/hyperlink" Target="https://eph-uio.uhad.no/ephorte/locator/?SHOW=JP&amp;JP_ID=403079&amp;database=EPHORTE-UIO" TargetMode="External"/><Relationship Id="rId1" Type="http://schemas.openxmlformats.org/officeDocument/2006/relationships/hyperlink" Target="https://eph-uio.uhad.no/ephorte/locator/?SHOW=JP&amp;JP_ID=399763&amp;database=EPHORTE-UIO" TargetMode="External"/><Relationship Id="rId6" Type="http://schemas.openxmlformats.org/officeDocument/2006/relationships/hyperlink" Target="https://eph-uio.uhad.no/ephorte/locator/?SHOW=SA&amp;SA_ID=173307&amp;database=EPHORTE-UIO" TargetMode="External"/><Relationship Id="rId5" Type="http://schemas.openxmlformats.org/officeDocument/2006/relationships/hyperlink" Target="https://eph-uio.uhad.no/ephorte/shared/aspx/default/details.aspx?f=ViewJP&amp;JP_ID=999926" TargetMode="External"/><Relationship Id="rId4" Type="http://schemas.openxmlformats.org/officeDocument/2006/relationships/hyperlink" Target="https://eph-uio.uhad.no/ephorte/shared/aspx/default/details.aspx?f=ViewJP&amp;JP_ID=10713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3319-6BC8-4C03-A049-3C85F286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ADF305AF.dotm</Template>
  <TotalTime>0</TotalTime>
  <Pages>38</Pages>
  <Words>6788</Words>
  <Characters>35979</Characters>
  <Application>Microsoft Office Word</Application>
  <DocSecurity>4</DocSecurity>
  <Lines>299</Lines>
  <Paragraphs>85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marilo</dc:creator>
  <cp:keywords/>
  <dc:description/>
  <cp:lastModifiedBy>Frode Løvik</cp:lastModifiedBy>
  <cp:revision>2</cp:revision>
  <cp:lastPrinted>2018-04-09T13:48:00Z</cp:lastPrinted>
  <dcterms:created xsi:type="dcterms:W3CDTF">2018-05-30T12:29:00Z</dcterms:created>
  <dcterms:modified xsi:type="dcterms:W3CDTF">2018-05-30T12:29:00Z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-26747487</vt:i4>
  </property>
</Properties>
</file>