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4FC08" w14:textId="77777777" w:rsidR="00096884" w:rsidRPr="00096884" w:rsidRDefault="00096884" w:rsidP="00096884">
      <w:pPr>
        <w:outlineLvl w:val="0"/>
        <w:rPr>
          <w:rFonts w:ascii="Times New Roman" w:hAnsi="Times New Roman"/>
          <w:sz w:val="24"/>
          <w:szCs w:val="24"/>
        </w:rPr>
      </w:pPr>
      <w:r w:rsidRPr="00E607AF">
        <w:rPr>
          <w:rFonts w:ascii="Times New Roman" w:hAnsi="Times New Roman"/>
          <w:b/>
          <w:sz w:val="24"/>
          <w:szCs w:val="24"/>
        </w:rPr>
        <w:t>NOTAT</w:t>
      </w:r>
    </w:p>
    <w:p w14:paraId="74E590A6" w14:textId="77777777" w:rsidR="00096884" w:rsidRDefault="007615A9" w:rsidP="00096884">
      <w:pPr>
        <w:pStyle w:val="gp-teks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</w:tabs>
        <w:spacing w:before="80"/>
        <w:rPr>
          <w:sz w:val="24"/>
        </w:rPr>
      </w:pPr>
      <w:r>
        <w:rPr>
          <w:sz w:val="24"/>
        </w:rPr>
        <w:t xml:space="preserve">Til:  </w:t>
      </w:r>
      <w:r>
        <w:rPr>
          <w:sz w:val="24"/>
        </w:rPr>
        <w:tab/>
      </w:r>
      <w:r w:rsidR="00E100DB">
        <w:rPr>
          <w:sz w:val="24"/>
        </w:rPr>
        <w:t>Styret</w:t>
      </w:r>
    </w:p>
    <w:p w14:paraId="25EB3707" w14:textId="77777777" w:rsidR="00913CDA" w:rsidRDefault="00113E3B" w:rsidP="00096884">
      <w:pPr>
        <w:pStyle w:val="gp-teks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</w:tabs>
        <w:spacing w:before="80"/>
        <w:rPr>
          <w:sz w:val="24"/>
        </w:rPr>
      </w:pPr>
      <w:r>
        <w:rPr>
          <w:sz w:val="24"/>
        </w:rPr>
        <w:t xml:space="preserve">Fra: </w:t>
      </w:r>
      <w:r>
        <w:rPr>
          <w:sz w:val="24"/>
        </w:rPr>
        <w:tab/>
      </w:r>
      <w:r w:rsidR="00E100DB">
        <w:rPr>
          <w:sz w:val="24"/>
        </w:rPr>
        <w:t>Senterleder</w:t>
      </w:r>
    </w:p>
    <w:p w14:paraId="4BAAD1CC" w14:textId="77777777" w:rsidR="00096884" w:rsidRDefault="00096884" w:rsidP="00096884">
      <w:pPr>
        <w:pStyle w:val="gp-teks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</w:tabs>
        <w:spacing w:before="80"/>
        <w:rPr>
          <w:sz w:val="24"/>
        </w:rPr>
      </w:pPr>
      <w:r>
        <w:rPr>
          <w:sz w:val="24"/>
        </w:rPr>
        <w:t xml:space="preserve">Sakstype: </w:t>
      </w:r>
      <w:r>
        <w:rPr>
          <w:sz w:val="24"/>
        </w:rPr>
        <w:tab/>
        <w:t>Orientering</w:t>
      </w:r>
    </w:p>
    <w:p w14:paraId="733F592C" w14:textId="2B67AED0" w:rsidR="00096884" w:rsidRDefault="00113E3B" w:rsidP="00096884">
      <w:pPr>
        <w:pStyle w:val="gp-teks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</w:tabs>
        <w:spacing w:before="80"/>
        <w:rPr>
          <w:sz w:val="24"/>
        </w:rPr>
      </w:pPr>
      <w:r>
        <w:rPr>
          <w:sz w:val="24"/>
        </w:rPr>
        <w:t xml:space="preserve">Saksnr: </w:t>
      </w:r>
      <w:r>
        <w:rPr>
          <w:sz w:val="24"/>
        </w:rPr>
        <w:tab/>
      </w:r>
      <w:r w:rsidR="005604CE">
        <w:rPr>
          <w:sz w:val="24"/>
        </w:rPr>
        <w:t>20/2018</w:t>
      </w:r>
    </w:p>
    <w:p w14:paraId="604CD38F" w14:textId="77777777" w:rsidR="00913CDA" w:rsidRDefault="00913CDA" w:rsidP="00096884">
      <w:pPr>
        <w:pStyle w:val="gp-teks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</w:tabs>
        <w:spacing w:before="80"/>
        <w:rPr>
          <w:sz w:val="24"/>
        </w:rPr>
      </w:pPr>
      <w:r>
        <w:rPr>
          <w:sz w:val="24"/>
        </w:rPr>
        <w:t>Møtedato:</w:t>
      </w:r>
      <w:r w:rsidR="00E100DB">
        <w:rPr>
          <w:sz w:val="24"/>
        </w:rPr>
        <w:t xml:space="preserve"> </w:t>
      </w:r>
      <w:r w:rsidR="00E100DB">
        <w:rPr>
          <w:sz w:val="24"/>
        </w:rPr>
        <w:tab/>
      </w:r>
      <w:r w:rsidR="000B4D01">
        <w:rPr>
          <w:sz w:val="24"/>
        </w:rPr>
        <w:t>09.10.2018</w:t>
      </w:r>
    </w:p>
    <w:p w14:paraId="7E5D0869" w14:textId="77777777" w:rsidR="00AA790D" w:rsidRPr="00096884" w:rsidRDefault="00096884" w:rsidP="00096884">
      <w:pPr>
        <w:pStyle w:val="gp-teks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</w:tabs>
        <w:spacing w:before="80"/>
        <w:rPr>
          <w:sz w:val="24"/>
        </w:rPr>
      </w:pPr>
      <w:r w:rsidRPr="00096884">
        <w:rPr>
          <w:sz w:val="24"/>
        </w:rPr>
        <w:t xml:space="preserve">Notatdato: </w:t>
      </w:r>
      <w:r w:rsidRPr="00096884">
        <w:rPr>
          <w:sz w:val="24"/>
        </w:rPr>
        <w:tab/>
      </w:r>
      <w:r w:rsidR="000B4D01">
        <w:rPr>
          <w:sz w:val="24"/>
        </w:rPr>
        <w:t>03</w:t>
      </w:r>
      <w:r w:rsidR="009C3975">
        <w:rPr>
          <w:sz w:val="24"/>
        </w:rPr>
        <w:t>.</w:t>
      </w:r>
      <w:r w:rsidR="000B4D01">
        <w:rPr>
          <w:sz w:val="24"/>
        </w:rPr>
        <w:t>10</w:t>
      </w:r>
      <w:r w:rsidR="009C3975">
        <w:rPr>
          <w:sz w:val="24"/>
        </w:rPr>
        <w:t>.201</w:t>
      </w:r>
      <w:r w:rsidR="009A7982">
        <w:rPr>
          <w:sz w:val="24"/>
        </w:rPr>
        <w:t>8</w:t>
      </w:r>
    </w:p>
    <w:p w14:paraId="5218A0D3" w14:textId="77777777" w:rsidR="00096884" w:rsidRPr="00096884" w:rsidRDefault="00096884" w:rsidP="00096884">
      <w:pPr>
        <w:pStyle w:val="gp-teks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</w:tabs>
        <w:spacing w:before="80"/>
        <w:rPr>
          <w:sz w:val="24"/>
        </w:rPr>
      </w:pPr>
      <w:r w:rsidRPr="00096884">
        <w:rPr>
          <w:sz w:val="24"/>
        </w:rPr>
        <w:t xml:space="preserve">Saksbehandler: </w:t>
      </w:r>
      <w:r w:rsidRPr="00096884">
        <w:rPr>
          <w:sz w:val="24"/>
        </w:rPr>
        <w:tab/>
      </w:r>
      <w:r w:rsidR="00131E8D">
        <w:rPr>
          <w:sz w:val="24"/>
        </w:rPr>
        <w:t>Fredrik Emil Olsbu</w:t>
      </w:r>
      <w:r w:rsidR="007A25A6">
        <w:rPr>
          <w:sz w:val="24"/>
        </w:rPr>
        <w:t>/Frode Løvik</w:t>
      </w:r>
    </w:p>
    <w:p w14:paraId="15DEA216" w14:textId="77777777" w:rsidR="00096884" w:rsidRDefault="00096884" w:rsidP="00096884">
      <w:pPr>
        <w:pStyle w:val="gp-tekst"/>
        <w:rPr>
          <w:sz w:val="22"/>
        </w:rPr>
      </w:pPr>
    </w:p>
    <w:p w14:paraId="18FCDAE5" w14:textId="77777777" w:rsidR="00B96CF7" w:rsidRDefault="009C4B36" w:rsidP="00B329BC">
      <w:pPr>
        <w:pStyle w:val="Heading1"/>
        <w:spacing w:line="360" w:lineRule="auto"/>
      </w:pPr>
      <w:r>
        <w:t xml:space="preserve">Regnskap </w:t>
      </w:r>
      <w:r w:rsidR="003A38AF">
        <w:t>2</w:t>
      </w:r>
      <w:r w:rsidR="00887DD7">
        <w:t>. tertial TIK</w:t>
      </w:r>
    </w:p>
    <w:p w14:paraId="37663FCF" w14:textId="77777777" w:rsidR="00C32262" w:rsidRPr="005604CE" w:rsidRDefault="00C32262" w:rsidP="00C32262">
      <w:pPr>
        <w:pStyle w:val="Caption"/>
        <w:keepNext/>
        <w:spacing w:line="360" w:lineRule="auto"/>
        <w:rPr>
          <w:b w:val="0"/>
        </w:rPr>
      </w:pPr>
      <w:r w:rsidRPr="005604CE">
        <w:rPr>
          <w:b w:val="0"/>
        </w:rPr>
        <w:t xml:space="preserve">Tabell </w:t>
      </w:r>
      <w:r w:rsidRPr="005604CE">
        <w:rPr>
          <w:b w:val="0"/>
          <w:noProof/>
        </w:rPr>
        <w:fldChar w:fldCharType="begin"/>
      </w:r>
      <w:r w:rsidRPr="005604CE">
        <w:rPr>
          <w:b w:val="0"/>
          <w:noProof/>
        </w:rPr>
        <w:instrText xml:space="preserve"> SEQ Tabell \* ARABIC </w:instrText>
      </w:r>
      <w:r w:rsidRPr="005604CE">
        <w:rPr>
          <w:b w:val="0"/>
          <w:noProof/>
        </w:rPr>
        <w:fldChar w:fldCharType="separate"/>
      </w:r>
      <w:r w:rsidRPr="005604CE">
        <w:rPr>
          <w:b w:val="0"/>
          <w:noProof/>
        </w:rPr>
        <w:t>1</w:t>
      </w:r>
      <w:r w:rsidRPr="005604CE">
        <w:rPr>
          <w:b w:val="0"/>
          <w:noProof/>
        </w:rPr>
        <w:fldChar w:fldCharType="end"/>
      </w:r>
      <w:r w:rsidRPr="005604CE">
        <w:rPr>
          <w:b w:val="0"/>
        </w:rPr>
        <w:t xml:space="preserve">:Totalresultat  for 2018 </w:t>
      </w:r>
      <w:r w:rsidRPr="005604CE">
        <w:rPr>
          <w:rFonts w:ascii="Times New Roman" w:eastAsia="Times New Roman" w:hAnsi="Times New Roman"/>
          <w:b w:val="0"/>
          <w:i/>
          <w:color w:val="000000"/>
          <w:lang w:eastAsia="nb-NO"/>
        </w:rPr>
        <w:t>*Minus betegner inntekter. Minus i budsjettavvik viser underforbruk, eller økte inntekter, vs.budsjett.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0"/>
        <w:gridCol w:w="778"/>
        <w:gridCol w:w="698"/>
        <w:gridCol w:w="748"/>
        <w:gridCol w:w="778"/>
        <w:gridCol w:w="912"/>
        <w:gridCol w:w="961"/>
        <w:gridCol w:w="747"/>
      </w:tblGrid>
      <w:tr w:rsidR="000B4D01" w:rsidRPr="00674FC9" w14:paraId="79952ECB" w14:textId="77777777" w:rsidTr="000B4D01">
        <w:trPr>
          <w:trHeight w:val="39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AAC003" w14:textId="77777777" w:rsidR="000B4D01" w:rsidRPr="00674FC9" w:rsidRDefault="000B4D01" w:rsidP="000B4D0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674FC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  <w:t>Totalvirksomhet</w:t>
            </w:r>
          </w:p>
        </w:tc>
      </w:tr>
      <w:tr w:rsidR="000B4D01" w:rsidRPr="00674FC9" w14:paraId="50839571" w14:textId="77777777" w:rsidTr="00243AE5">
        <w:trPr>
          <w:trHeight w:val="390"/>
        </w:trPr>
        <w:tc>
          <w:tcPr>
            <w:tcW w:w="189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11DAD" w14:textId="77777777" w:rsidR="000B4D01" w:rsidRPr="00674FC9" w:rsidRDefault="000B4D01" w:rsidP="000B4D0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674FC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6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4C6078" w14:textId="77777777" w:rsidR="000B4D01" w:rsidRPr="00674FC9" w:rsidRDefault="000B4D01" w:rsidP="000B4D0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674FC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  <w:t>Per aug</w:t>
            </w:r>
          </w:p>
        </w:tc>
        <w:tc>
          <w:tcPr>
            <w:tcW w:w="1447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1DC7B7" w14:textId="77777777" w:rsidR="000B4D01" w:rsidRPr="00674FC9" w:rsidRDefault="000B4D01" w:rsidP="000B4D0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674FC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  <w:t>Prognose 2018</w:t>
            </w:r>
          </w:p>
        </w:tc>
      </w:tr>
      <w:tr w:rsidR="000B4D01" w:rsidRPr="00674FC9" w14:paraId="4EE3E803" w14:textId="77777777" w:rsidTr="00243AE5">
        <w:trPr>
          <w:trHeight w:val="465"/>
        </w:trPr>
        <w:tc>
          <w:tcPr>
            <w:tcW w:w="189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308E159" w14:textId="77777777" w:rsidR="000B4D01" w:rsidRPr="00674FC9" w:rsidRDefault="000B4D01" w:rsidP="000B4D0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6B9F03E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Regnskap aug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6425D5C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Budsjett aug 2018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B0435F0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Budsjett- avvik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B9615C6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Regnskap aug 2017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37CE21C0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Årsbudsjett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79F18DE6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Oppdatert årsprognose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2DDB7E0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Budsjett- endring</w:t>
            </w:r>
          </w:p>
        </w:tc>
      </w:tr>
      <w:tr w:rsidR="000B4D01" w:rsidRPr="00674FC9" w14:paraId="1B94FAD6" w14:textId="77777777" w:rsidTr="00243AE5">
        <w:trPr>
          <w:trHeight w:val="300"/>
        </w:trPr>
        <w:tc>
          <w:tcPr>
            <w:tcW w:w="189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89A8D" w14:textId="77777777" w:rsidR="000B4D01" w:rsidRPr="00674FC9" w:rsidRDefault="000B4D01" w:rsidP="000B4D0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Inntekter fra bevilgning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DD66F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-9 005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8378B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-9 005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79374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0BFAC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-8 284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63754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-14 181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53F26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-14 181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46008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0B4D01" w:rsidRPr="00674FC9" w14:paraId="2A467F51" w14:textId="77777777" w:rsidTr="00243AE5">
        <w:trPr>
          <w:trHeight w:val="300"/>
        </w:trPr>
        <w:tc>
          <w:tcPr>
            <w:tcW w:w="189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794BF" w14:textId="77777777" w:rsidR="000B4D01" w:rsidRPr="00674FC9" w:rsidRDefault="005E7B30" w:rsidP="000B4D0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Andre UiO-</w:t>
            </w:r>
            <w:r w:rsidR="000B4D01" w:rsidRPr="00674FC9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inntekter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23548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724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2F974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-549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89901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1 273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2883D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-578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173EF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-2 638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9879E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-838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4928A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1 800</w:t>
            </w:r>
          </w:p>
        </w:tc>
      </w:tr>
      <w:tr w:rsidR="000B4D01" w:rsidRPr="00674FC9" w14:paraId="09E89109" w14:textId="77777777" w:rsidTr="00243AE5">
        <w:trPr>
          <w:trHeight w:val="300"/>
        </w:trPr>
        <w:tc>
          <w:tcPr>
            <w:tcW w:w="189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F0F54" w14:textId="77777777" w:rsidR="000B4D01" w:rsidRPr="00674FC9" w:rsidRDefault="000B4D01" w:rsidP="000B4D0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Disponerte eksterne midler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BFF9B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-13 408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99AFA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-17 323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B2F1B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3 915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AE0D2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-11 648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FB31B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-26 555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6CBFA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-26 418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C265D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137</w:t>
            </w:r>
          </w:p>
        </w:tc>
      </w:tr>
      <w:tr w:rsidR="000B4D01" w:rsidRPr="00674FC9" w14:paraId="270913F7" w14:textId="77777777" w:rsidTr="00243AE5">
        <w:trPr>
          <w:trHeight w:val="300"/>
        </w:trPr>
        <w:tc>
          <w:tcPr>
            <w:tcW w:w="189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0B22E" w14:textId="77777777" w:rsidR="000B4D01" w:rsidRPr="00674FC9" w:rsidRDefault="000B4D01" w:rsidP="000B4D0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Personalkostnader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0531F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17 813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19FE2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21 227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F6FDA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-3 414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2D45D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15 137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9C948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34 619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B8C4D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31 797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221D8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-2 823</w:t>
            </w:r>
          </w:p>
        </w:tc>
      </w:tr>
      <w:tr w:rsidR="000B4D01" w:rsidRPr="00674FC9" w14:paraId="3CD6D4B1" w14:textId="77777777" w:rsidTr="00243AE5">
        <w:trPr>
          <w:trHeight w:val="300"/>
        </w:trPr>
        <w:tc>
          <w:tcPr>
            <w:tcW w:w="189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FC2EC" w14:textId="77777777" w:rsidR="000B4D01" w:rsidRPr="00674FC9" w:rsidRDefault="000B4D01" w:rsidP="000B4D0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Driftskostnader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5A98E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2 669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693EA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4 572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53DFD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-1 903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805C7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1 962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2683B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7 179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5571B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8 220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B7F12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1 041</w:t>
            </w:r>
          </w:p>
        </w:tc>
      </w:tr>
      <w:tr w:rsidR="000B4D01" w:rsidRPr="00674FC9" w14:paraId="5FEF3997" w14:textId="77777777" w:rsidTr="00243AE5">
        <w:trPr>
          <w:trHeight w:val="315"/>
        </w:trPr>
        <w:tc>
          <w:tcPr>
            <w:tcW w:w="189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A6D95" w14:textId="77777777" w:rsidR="000B4D01" w:rsidRPr="00674FC9" w:rsidRDefault="000B4D01" w:rsidP="000B4D0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Investeringer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ABA74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178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FDF5D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93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8C9DA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84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48C96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97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2088C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140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EA339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89CAC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0B4D01" w:rsidRPr="00674FC9" w14:paraId="1287F282" w14:textId="77777777" w:rsidTr="00243AE5">
        <w:trPr>
          <w:trHeight w:val="465"/>
        </w:trPr>
        <w:tc>
          <w:tcPr>
            <w:tcW w:w="18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14:paraId="77813E27" w14:textId="77777777" w:rsidR="000B4D01" w:rsidRPr="00674FC9" w:rsidRDefault="000B4D01" w:rsidP="000B4D0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Årsresultat uten nettobidrag og prosjektavslutning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343A5861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-1 030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3D5D3E9B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-984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3D379115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-46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17C5A521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-3 315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145C95F1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-1 436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3EF105CF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-1 280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3F78A613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156</w:t>
            </w:r>
          </w:p>
        </w:tc>
      </w:tr>
      <w:tr w:rsidR="000B4D01" w:rsidRPr="00674FC9" w14:paraId="42857EF0" w14:textId="77777777" w:rsidTr="00243AE5">
        <w:trPr>
          <w:trHeight w:val="300"/>
        </w:trPr>
        <w:tc>
          <w:tcPr>
            <w:tcW w:w="189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F2345" w14:textId="77777777" w:rsidR="000B4D01" w:rsidRPr="00674FC9" w:rsidRDefault="000B4D01" w:rsidP="000B4D0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Nettobidrag fra prosjekter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8D0D4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028CA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224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983B4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-223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E84AD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4DD73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336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0879A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370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EFE7C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33</w:t>
            </w:r>
          </w:p>
        </w:tc>
      </w:tr>
      <w:tr w:rsidR="000B4D01" w:rsidRPr="00674FC9" w14:paraId="34390517" w14:textId="77777777" w:rsidTr="00243AE5">
        <w:trPr>
          <w:trHeight w:val="315"/>
        </w:trPr>
        <w:tc>
          <w:tcPr>
            <w:tcW w:w="189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39741" w14:textId="77777777" w:rsidR="000B4D01" w:rsidRPr="00674FC9" w:rsidRDefault="000B4D01" w:rsidP="000B4D0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Prosjektavslutning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E58D5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28A0C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69758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8F286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CB35C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97822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29488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0B4D01" w:rsidRPr="00674FC9" w14:paraId="606DAB85" w14:textId="77777777" w:rsidTr="00243AE5">
        <w:trPr>
          <w:trHeight w:val="315"/>
        </w:trPr>
        <w:tc>
          <w:tcPr>
            <w:tcW w:w="18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0A851B7A" w14:textId="77777777" w:rsidR="000B4D01" w:rsidRPr="00674FC9" w:rsidRDefault="000B4D01" w:rsidP="000B4D0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 xml:space="preserve">Årsresultat  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2F7BBBD0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-1 028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38E0DFA6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-760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25F0A8EA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-268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1C8CE909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-3 324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64D4B172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-1 100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4EA83E93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-911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27757747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189</w:t>
            </w:r>
          </w:p>
        </w:tc>
      </w:tr>
      <w:tr w:rsidR="000B4D01" w:rsidRPr="00674FC9" w14:paraId="6086E494" w14:textId="77777777" w:rsidTr="00243AE5">
        <w:trPr>
          <w:trHeight w:val="315"/>
        </w:trPr>
        <w:tc>
          <w:tcPr>
            <w:tcW w:w="1895" w:type="pct"/>
            <w:tcBorders>
              <w:top w:val="nil"/>
              <w:left w:val="single" w:sz="8" w:space="0" w:color="auto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A59E727" w14:textId="77777777" w:rsidR="000B4D01" w:rsidRPr="00674FC9" w:rsidRDefault="000B4D01" w:rsidP="000B4D0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Overført fra i fjor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5BB35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-9 389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B9347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-9 389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DFF63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B1E5A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-3 297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8550A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-9 389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31B28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-9 389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57BB0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0B4D01" w:rsidRPr="00674FC9" w14:paraId="76EC6B38" w14:textId="77777777" w:rsidTr="00243AE5">
        <w:trPr>
          <w:trHeight w:val="315"/>
        </w:trPr>
        <w:tc>
          <w:tcPr>
            <w:tcW w:w="189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31FBF335" w14:textId="77777777" w:rsidR="000B4D01" w:rsidRPr="00674FC9" w:rsidRDefault="000B4D01" w:rsidP="000B4D0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Akkumulert resultat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14:paraId="29AE123F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-10 418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14:paraId="15FEB423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-10 149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14:paraId="67514D7F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-268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14:paraId="3516F67A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-6 621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14:paraId="4CFA6B07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-10 489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14:paraId="3DE8DB09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-10 300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14:paraId="2927CCE6" w14:textId="77777777" w:rsidR="000B4D01" w:rsidRPr="00674FC9" w:rsidRDefault="000B4D01" w:rsidP="000B4D01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74F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189</w:t>
            </w:r>
          </w:p>
        </w:tc>
      </w:tr>
    </w:tbl>
    <w:p w14:paraId="66DA311D" w14:textId="77777777" w:rsidR="00243AE5" w:rsidRDefault="00243AE5" w:rsidP="00243AE5">
      <w:pPr>
        <w:pStyle w:val="Heading1"/>
      </w:pPr>
      <w:r>
        <w:t>Totalvirksomhet</w:t>
      </w:r>
      <w:r w:rsidR="00120FAC">
        <w:t>en</w:t>
      </w:r>
    </w:p>
    <w:p w14:paraId="5B9B036B" w14:textId="6177CB29" w:rsidR="000B4D01" w:rsidRDefault="000B4D01" w:rsidP="000B4D01">
      <w:r>
        <w:t>Regnskapsrapporten for andre tertial i 2018 viser et overskudd på NOK 1 028 000. Dette er i godt samsvar med budsjettert resultat for hele 2018.</w:t>
      </w:r>
    </w:p>
    <w:p w14:paraId="4BB9CF0B" w14:textId="77777777" w:rsidR="0068621C" w:rsidRDefault="0068621C" w:rsidP="000B4D01"/>
    <w:p w14:paraId="64DF1090" w14:textId="77777777" w:rsidR="000B4D01" w:rsidRDefault="000B4D01" w:rsidP="000B4D01">
      <w:r>
        <w:t>Omfanget av den eksterne prosjektvirksomheten har</w:t>
      </w:r>
      <w:r w:rsidR="005E7B30">
        <w:t xml:space="preserve"> i år </w:t>
      </w:r>
      <w:r>
        <w:t xml:space="preserve">igjen blitt mindre enn budsjettert. </w:t>
      </w:r>
      <w:r w:rsidR="005E7B30">
        <w:t>Det skyldes senere oppstart i flere stillinger og justering av tidsplanene i flere prosjekter</w:t>
      </w:r>
      <w:r w:rsidR="0068290F">
        <w:t xml:space="preserve"> som følge av løpende oppfølging</w:t>
      </w:r>
      <w:r w:rsidR="005E7B30">
        <w:t>. Det har også blitt utsatt oppstart for planlagte stillinger finansiert av basis, samt større refusjon av sykepenger.</w:t>
      </w:r>
      <w:r w:rsidR="00112492">
        <w:t xml:space="preserve"> Dette til sammen forklarer budsjettavviket for personalkostnader.</w:t>
      </w:r>
    </w:p>
    <w:p w14:paraId="5C8B4558" w14:textId="77777777" w:rsidR="00112492" w:rsidRDefault="00112492" w:rsidP="000B4D01">
      <w:r>
        <w:t>Driftskostnadene er også mindre enn budsjettert og skyldes i hovedsak lavere driftskostnader for eksternfinansierte prosjekter.</w:t>
      </w:r>
    </w:p>
    <w:p w14:paraId="65F0236C" w14:textId="3248A918" w:rsidR="000B4D01" w:rsidRDefault="00112492" w:rsidP="000B4D01">
      <w:r>
        <w:lastRenderedPageBreak/>
        <w:t>Vi styrer mot en ytterligere styrking av TIKs</w:t>
      </w:r>
      <w:r w:rsidR="00243AE5">
        <w:t xml:space="preserve"> økonomiske buffer. </w:t>
      </w:r>
      <w:r w:rsidR="0068290F">
        <w:t>Dette</w:t>
      </w:r>
      <w:r w:rsidR="00243AE5">
        <w:t xml:space="preserve"> kan komme vel med </w:t>
      </w:r>
      <w:r w:rsidR="0068290F">
        <w:t xml:space="preserve">i de kommende årene, </w:t>
      </w:r>
      <w:r w:rsidR="00243AE5">
        <w:t>gitt reduksjonen i basis i årene framover som følge av at fakultetsstyre har ve</w:t>
      </w:r>
      <w:r w:rsidR="0068290F">
        <w:t>dtatt en ny fordelingsmodell. Dette</w:t>
      </w:r>
      <w:r w:rsidR="00243AE5">
        <w:t xml:space="preserve"> vil bli kommentert under en egen sak i møtet. </w:t>
      </w:r>
    </w:p>
    <w:p w14:paraId="288BDE3A" w14:textId="77777777" w:rsidR="0068621C" w:rsidRDefault="0068621C" w:rsidP="000B4D01"/>
    <w:p w14:paraId="41BEDF87" w14:textId="62864074" w:rsidR="0001598D" w:rsidRDefault="0001598D" w:rsidP="0068621C">
      <w:r>
        <w:t xml:space="preserve">Det akkumulerte resultatet i tabell 1 er en ren buffer for TIK. I tillegg har TIK også ubrukte eksterne prosjektmidler. Dette er midler vi har mottatt, men som er øremerket framtidige prosjektaktiviteter. Fakultetsledelsen valgte å inkludere også disse midlene som en del TIKs akkumulerte overskudd i saksdokumentet </w:t>
      </w:r>
      <w:r w:rsidR="005604CE">
        <w:t xml:space="preserve">om ny fordelingsmodell </w:t>
      </w:r>
      <w:r>
        <w:t>til fakultetsstyret</w:t>
      </w:r>
      <w:r w:rsidR="005604CE">
        <w:t xml:space="preserve">s møte 28.9. </w:t>
      </w:r>
      <w:r w:rsidR="00CD3574">
        <w:t>Tabell 4 viser status for de eksterne prosjektmidlene ved TIK.</w:t>
      </w:r>
    </w:p>
    <w:p w14:paraId="779B03C5" w14:textId="77777777" w:rsidR="0068621C" w:rsidRDefault="0068621C" w:rsidP="0068621C">
      <w:bookmarkStart w:id="0" w:name="_GoBack"/>
      <w:bookmarkEnd w:id="0"/>
    </w:p>
    <w:p w14:paraId="488BDA00" w14:textId="77777777" w:rsidR="00120FAC" w:rsidRPr="00C32262" w:rsidRDefault="00C32262" w:rsidP="00C32262">
      <w:pPr>
        <w:rPr>
          <w:sz w:val="20"/>
          <w:szCs w:val="20"/>
        </w:rPr>
      </w:pPr>
      <w:r w:rsidRPr="00C32262">
        <w:rPr>
          <w:sz w:val="20"/>
          <w:szCs w:val="20"/>
        </w:rPr>
        <w:t>Tabell 2: Resultat for basisvirksomheten i 2018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9"/>
        <w:gridCol w:w="1023"/>
        <w:gridCol w:w="1023"/>
        <w:gridCol w:w="1023"/>
        <w:gridCol w:w="1024"/>
        <w:gridCol w:w="1024"/>
        <w:gridCol w:w="1024"/>
        <w:gridCol w:w="1022"/>
      </w:tblGrid>
      <w:tr w:rsidR="00DB348D" w:rsidRPr="00DB348D" w14:paraId="30B480F6" w14:textId="77777777" w:rsidTr="00DB348D">
        <w:trPr>
          <w:trHeight w:val="39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36FDD4" w14:textId="77777777" w:rsidR="00DB348D" w:rsidRPr="00DB348D" w:rsidRDefault="00DB348D" w:rsidP="00DB34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  <w:t>Basisvirksomhet (bevilgningsfinansiert virksomhet, post 50)</w:t>
            </w:r>
          </w:p>
        </w:tc>
      </w:tr>
      <w:tr w:rsidR="00DB348D" w:rsidRPr="00DB348D" w14:paraId="1572EF8C" w14:textId="77777777" w:rsidTr="00DB348D">
        <w:trPr>
          <w:trHeight w:val="390"/>
        </w:trPr>
        <w:tc>
          <w:tcPr>
            <w:tcW w:w="101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43A22" w14:textId="77777777" w:rsidR="00DB348D" w:rsidRPr="00DB348D" w:rsidRDefault="00DB348D" w:rsidP="00DB34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227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F6D8E1" w14:textId="77777777" w:rsidR="00DB348D" w:rsidRPr="00DB348D" w:rsidRDefault="00DB348D" w:rsidP="00DB34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  <w:t>Per aug</w:t>
            </w:r>
          </w:p>
        </w:tc>
        <w:tc>
          <w:tcPr>
            <w:tcW w:w="1707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EB2839" w14:textId="77777777" w:rsidR="00DB348D" w:rsidRPr="00DB348D" w:rsidRDefault="00DB348D" w:rsidP="00DB34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  <w:t>Prognose 2018</w:t>
            </w:r>
          </w:p>
        </w:tc>
      </w:tr>
      <w:tr w:rsidR="00DB348D" w:rsidRPr="00DB348D" w14:paraId="0085EB1E" w14:textId="77777777" w:rsidTr="00DB348D">
        <w:trPr>
          <w:trHeight w:val="465"/>
        </w:trPr>
        <w:tc>
          <w:tcPr>
            <w:tcW w:w="101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55C835B" w14:textId="77777777" w:rsidR="00DB348D" w:rsidRPr="00DB348D" w:rsidRDefault="00DB348D" w:rsidP="00DB348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9282E6B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Regnskap aug 2018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589C286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Budsjett aug 2018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0F847B3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Budsjett- avvik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FE380A2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Regnskap aug 2017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45CAA230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Årsbudsjett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09BCF564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Oppdatert årsprognose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11EAAA9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Budsjett- endring</w:t>
            </w:r>
          </w:p>
        </w:tc>
      </w:tr>
      <w:tr w:rsidR="00DB348D" w:rsidRPr="00DB348D" w14:paraId="1B916298" w14:textId="77777777" w:rsidTr="00DB348D">
        <w:trPr>
          <w:trHeight w:val="300"/>
        </w:trPr>
        <w:tc>
          <w:tcPr>
            <w:tcW w:w="101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98995" w14:textId="77777777" w:rsidR="00DB348D" w:rsidRPr="00DB348D" w:rsidRDefault="00DB348D" w:rsidP="00DB348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Inntekter fra bevilgning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FEF00" w14:textId="77777777" w:rsidR="00DB348D" w:rsidRPr="00DB348D" w:rsidRDefault="00243AE5" w:rsidP="00243AE5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-9 005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0981F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</w:t>
            </w:r>
            <w:r w:rsidR="00243AE5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9 005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8B98A" w14:textId="77777777" w:rsidR="00DB348D" w:rsidRPr="00DB348D" w:rsidRDefault="00243AE5" w:rsidP="00DB348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29DE1" w14:textId="77777777" w:rsidR="00DB348D" w:rsidRPr="00DB348D" w:rsidRDefault="00DB348D" w:rsidP="00243AE5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 xml:space="preserve">-8 </w:t>
            </w:r>
            <w:r w:rsidR="00243AE5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284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F83CC" w14:textId="77777777" w:rsidR="00DB348D" w:rsidRPr="00DB348D" w:rsidRDefault="00DB348D" w:rsidP="00243AE5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</w:t>
            </w:r>
            <w:r w:rsidR="00243AE5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14 181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018C1" w14:textId="77777777" w:rsidR="00DB348D" w:rsidRPr="00DB348D" w:rsidRDefault="00DB348D" w:rsidP="00243AE5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</w:t>
            </w:r>
            <w:r w:rsidR="00243AE5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14 181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27078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243AE5" w:rsidRPr="00DB348D" w14:paraId="72794B02" w14:textId="77777777" w:rsidTr="00DB348D">
        <w:trPr>
          <w:trHeight w:val="300"/>
        </w:trPr>
        <w:tc>
          <w:tcPr>
            <w:tcW w:w="101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02122" w14:textId="77777777" w:rsidR="00243AE5" w:rsidRPr="00DB348D" w:rsidRDefault="00243AE5" w:rsidP="00DB348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Andre UiO-inntekter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3ECDE" w14:textId="77777777" w:rsidR="00243AE5" w:rsidRPr="00DB348D" w:rsidRDefault="00243AE5" w:rsidP="00DB348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724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2E07B" w14:textId="77777777" w:rsidR="00243AE5" w:rsidRPr="00DB348D" w:rsidRDefault="00243AE5" w:rsidP="00DB348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-549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AB4BC" w14:textId="77777777" w:rsidR="00243AE5" w:rsidRPr="00DB348D" w:rsidRDefault="00243AE5" w:rsidP="00DB348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1 273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47946" w14:textId="77777777" w:rsidR="00243AE5" w:rsidRPr="00DB348D" w:rsidRDefault="00243AE5" w:rsidP="00DB348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-578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D3856" w14:textId="77777777" w:rsidR="00243AE5" w:rsidRPr="00DB348D" w:rsidRDefault="00243AE5" w:rsidP="00DB348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-2 638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72724" w14:textId="77777777" w:rsidR="00243AE5" w:rsidRPr="00DB348D" w:rsidRDefault="00243AE5" w:rsidP="00DB348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-838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55923" w14:textId="77777777" w:rsidR="00243AE5" w:rsidRPr="00DB348D" w:rsidRDefault="00243AE5" w:rsidP="00DB348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1 800</w:t>
            </w:r>
          </w:p>
        </w:tc>
      </w:tr>
      <w:tr w:rsidR="00DB348D" w:rsidRPr="00DB348D" w14:paraId="68F35002" w14:textId="77777777" w:rsidTr="00DB348D">
        <w:trPr>
          <w:trHeight w:val="300"/>
        </w:trPr>
        <w:tc>
          <w:tcPr>
            <w:tcW w:w="101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F8DE1" w14:textId="77777777" w:rsidR="00DB348D" w:rsidRPr="00DB348D" w:rsidRDefault="00DB348D" w:rsidP="00DB348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Personalkostnader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2B7D8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10 476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3C1C4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11 433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D7669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-957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47DE0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9 630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CB25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19 137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7434D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18 612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DBA5D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-525</w:t>
            </w:r>
          </w:p>
        </w:tc>
      </w:tr>
      <w:tr w:rsidR="00DB348D" w:rsidRPr="00DB348D" w14:paraId="00709452" w14:textId="77777777" w:rsidTr="00DB348D">
        <w:trPr>
          <w:trHeight w:val="300"/>
        </w:trPr>
        <w:tc>
          <w:tcPr>
            <w:tcW w:w="101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14ED7" w14:textId="77777777" w:rsidR="00DB348D" w:rsidRPr="00DB348D" w:rsidRDefault="00DB348D" w:rsidP="00DB348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Driftskostnader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A8073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1 892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E764D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2 327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D1620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-435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6C5A1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1 296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A301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3 811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23E53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3 811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DAB47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DB348D" w:rsidRPr="00DB348D" w14:paraId="3E4AFAA2" w14:textId="77777777" w:rsidTr="00DB348D">
        <w:trPr>
          <w:trHeight w:val="315"/>
        </w:trPr>
        <w:tc>
          <w:tcPr>
            <w:tcW w:w="101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B2E0" w14:textId="77777777" w:rsidR="00DB348D" w:rsidRPr="00DB348D" w:rsidRDefault="00DB348D" w:rsidP="00DB348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Investeringer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93836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169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E1FCD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93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6A716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76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49F88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97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8E226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140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8B00E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140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6DCA1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DB348D" w:rsidRPr="00DB348D" w14:paraId="63087C3B" w14:textId="77777777" w:rsidTr="00DB348D">
        <w:trPr>
          <w:trHeight w:val="465"/>
        </w:trPr>
        <w:tc>
          <w:tcPr>
            <w:tcW w:w="10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14:paraId="5D7DF324" w14:textId="77777777" w:rsidR="00DB348D" w:rsidRPr="00DB348D" w:rsidRDefault="00DB348D" w:rsidP="00DB348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Årsresultat uten nettobidrag og prosjektavslutning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43E58132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4 255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569A4230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4 300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76EA2245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-44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0F31B46B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2 161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14:paraId="00E33063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6 269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14:paraId="26C3EC54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7 544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454E2C5B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1 275</w:t>
            </w:r>
          </w:p>
        </w:tc>
      </w:tr>
      <w:tr w:rsidR="00DB348D" w:rsidRPr="00DB348D" w14:paraId="1B935C9C" w14:textId="77777777" w:rsidTr="00DB348D">
        <w:trPr>
          <w:trHeight w:val="300"/>
        </w:trPr>
        <w:tc>
          <w:tcPr>
            <w:tcW w:w="101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CB6F" w14:textId="77777777" w:rsidR="00DB348D" w:rsidRPr="00DB348D" w:rsidRDefault="00DB348D" w:rsidP="00DB348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Nettobidrag fra prosjekter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33FA9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-5 344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E042B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-5 060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2D44A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-284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6FFA9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-5 365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ADC00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-7 369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6AB2A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-8 499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148D2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-1 129</w:t>
            </w:r>
          </w:p>
        </w:tc>
      </w:tr>
      <w:tr w:rsidR="00DB348D" w:rsidRPr="00DB348D" w14:paraId="319B9BC8" w14:textId="77777777" w:rsidTr="00DB348D">
        <w:trPr>
          <w:trHeight w:val="315"/>
        </w:trPr>
        <w:tc>
          <w:tcPr>
            <w:tcW w:w="101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4889C" w14:textId="77777777" w:rsidR="00DB348D" w:rsidRPr="00DB348D" w:rsidRDefault="00DB348D" w:rsidP="00DB348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Prosjektavslutning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9D4DC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60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7F66E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5B320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60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5B250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-120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658D2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A14C7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43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C01BD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43</w:t>
            </w:r>
          </w:p>
        </w:tc>
      </w:tr>
      <w:tr w:rsidR="00DB348D" w:rsidRPr="00DB348D" w14:paraId="14173E43" w14:textId="77777777" w:rsidTr="00DB348D">
        <w:trPr>
          <w:trHeight w:val="315"/>
        </w:trPr>
        <w:tc>
          <w:tcPr>
            <w:tcW w:w="10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39B425B1" w14:textId="77777777" w:rsidR="00DB348D" w:rsidRPr="00DB348D" w:rsidRDefault="00DB348D" w:rsidP="00DB348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 xml:space="preserve">Årsresultat  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4F16CF91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-1 028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3925C677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-760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793BA66F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-268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006CDD0D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-3 324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6B68DE6A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-1 100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3129662C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-911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1C4166F3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189</w:t>
            </w:r>
          </w:p>
        </w:tc>
      </w:tr>
      <w:tr w:rsidR="00DB348D" w:rsidRPr="00DB348D" w14:paraId="03869358" w14:textId="77777777" w:rsidTr="00DB348D">
        <w:trPr>
          <w:trHeight w:val="315"/>
        </w:trPr>
        <w:tc>
          <w:tcPr>
            <w:tcW w:w="101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C5CD7" w14:textId="77777777" w:rsidR="00DB348D" w:rsidRPr="00DB348D" w:rsidRDefault="00DB348D" w:rsidP="00DB348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Overført fra i fjor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28F68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-9 389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44075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-9 389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97A68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9C093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-3 297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843F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-9 389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72B3E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-9 389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2D8DE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DB348D" w:rsidRPr="00DB348D" w14:paraId="18453B7D" w14:textId="77777777" w:rsidTr="00DB348D">
        <w:trPr>
          <w:trHeight w:val="315"/>
        </w:trPr>
        <w:tc>
          <w:tcPr>
            <w:tcW w:w="101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5CCF5083" w14:textId="77777777" w:rsidR="00DB348D" w:rsidRPr="00DB348D" w:rsidRDefault="00DB348D" w:rsidP="00DB348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Akkumulert resultat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14:paraId="18509E9D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-10 418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14:paraId="67E1AB86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-10 149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14:paraId="577E2040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-268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14:paraId="1CA818A9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-6 621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77C6C3F6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-10 489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1F58B9E4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-10 300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14:paraId="29E02DAE" w14:textId="77777777" w:rsidR="00DB348D" w:rsidRPr="00DB348D" w:rsidRDefault="00DB348D" w:rsidP="00DB348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189</w:t>
            </w:r>
          </w:p>
        </w:tc>
      </w:tr>
    </w:tbl>
    <w:p w14:paraId="3307E4A1" w14:textId="77777777" w:rsidR="00B329BC" w:rsidRDefault="00B329BC" w:rsidP="00B329BC">
      <w:pPr>
        <w:pStyle w:val="Heading1"/>
        <w:spacing w:line="360" w:lineRule="auto"/>
      </w:pPr>
      <w:r>
        <w:t>Basisvirksomheten</w:t>
      </w:r>
    </w:p>
    <w:p w14:paraId="50DAD37F" w14:textId="4DABE94A" w:rsidR="00B329BC" w:rsidRPr="00CD3574" w:rsidRDefault="0008040D" w:rsidP="00CD3574">
      <w:pPr>
        <w:rPr>
          <w:rFonts w:asciiTheme="minorHAnsi" w:hAnsiTheme="minorHAnsi" w:cstheme="minorHAnsi"/>
        </w:rPr>
      </w:pPr>
      <w:r w:rsidRPr="00CD3574">
        <w:rPr>
          <w:rFonts w:asciiTheme="minorHAnsi" w:hAnsiTheme="minorHAnsi" w:cstheme="minorHAnsi"/>
        </w:rPr>
        <w:t>Vi skiller mellom inntekter fra bevilgning og andre</w:t>
      </w:r>
      <w:r w:rsidR="009679A3" w:rsidRPr="00CD3574">
        <w:rPr>
          <w:rFonts w:asciiTheme="minorHAnsi" w:hAnsiTheme="minorHAnsi" w:cstheme="minorHAnsi"/>
        </w:rPr>
        <w:t xml:space="preserve"> UiO-inntekter. Sistnevnte er ør</w:t>
      </w:r>
      <w:r w:rsidR="0068290F" w:rsidRPr="00CD3574">
        <w:rPr>
          <w:rFonts w:asciiTheme="minorHAnsi" w:hAnsiTheme="minorHAnsi" w:cstheme="minorHAnsi"/>
        </w:rPr>
        <w:t xml:space="preserve">emerkede tildelinger til prosjekter/stillinger finansiert av andre enheter ved UiO som TIK samarbeider med. Budsjettert basisbevilgning til TIK har økt fra 13 509 i opprinnelig budsjett til 14 181 i denne rapporten. Det skyldes kompensasjon for intern husleie som har sin motpost i en tilsvarende økning i budsjetterte driftskostnader fra 3 139 til 3 811. </w:t>
      </w:r>
      <w:r w:rsidR="00120FAC" w:rsidRPr="00CD3574">
        <w:rPr>
          <w:rFonts w:asciiTheme="minorHAnsi" w:hAnsiTheme="minorHAnsi" w:cstheme="minorHAnsi"/>
        </w:rPr>
        <w:t>En spesifikasjon av driftskostnader, timelønn og investeringer finnes i tabell 3.</w:t>
      </w:r>
      <w:r w:rsidR="00BE61BA" w:rsidRPr="00CD3574">
        <w:rPr>
          <w:rFonts w:asciiTheme="minorHAnsi" w:hAnsiTheme="minorHAnsi" w:cstheme="minorHAnsi"/>
        </w:rPr>
        <w:t xml:space="preserve"> Det er et avvik for posten </w:t>
      </w:r>
      <w:r w:rsidR="00BE61BA" w:rsidRPr="00CD3574">
        <w:rPr>
          <w:rFonts w:asciiTheme="minorHAnsi" w:hAnsiTheme="minorHAnsi" w:cstheme="minorHAnsi"/>
          <w:i/>
        </w:rPr>
        <w:t>Driftsmidler vitenskapelige</w:t>
      </w:r>
      <w:r w:rsidR="00BE61BA" w:rsidRPr="00CD3574">
        <w:rPr>
          <w:rFonts w:asciiTheme="minorHAnsi" w:hAnsiTheme="minorHAnsi" w:cstheme="minorHAnsi"/>
        </w:rPr>
        <w:t xml:space="preserve"> som skyldes endring i bokføring for et prosjekt med intern UiO-finansiering. Det er også et tilsvarende avvik for </w:t>
      </w:r>
      <w:r w:rsidR="00BE61BA" w:rsidRPr="00CD3574">
        <w:rPr>
          <w:rFonts w:asciiTheme="minorHAnsi" w:hAnsiTheme="minorHAnsi" w:cstheme="minorHAnsi"/>
          <w:i/>
        </w:rPr>
        <w:t>Faglige tiltak</w:t>
      </w:r>
      <w:r w:rsidR="0068621C">
        <w:rPr>
          <w:rFonts w:asciiTheme="minorHAnsi" w:hAnsiTheme="minorHAnsi" w:cstheme="minorHAnsi"/>
          <w:i/>
        </w:rPr>
        <w:t xml:space="preserve"> </w:t>
      </w:r>
      <w:r w:rsidR="0068621C">
        <w:rPr>
          <w:rFonts w:asciiTheme="minorHAnsi" w:hAnsiTheme="minorHAnsi" w:cstheme="minorHAnsi"/>
        </w:rPr>
        <w:t>som skyldes bokføring av kostnader for et UiO-finansiert prosjekt.</w:t>
      </w:r>
      <w:r w:rsidR="00CD3574">
        <w:rPr>
          <w:rFonts w:asciiTheme="minorHAnsi" w:hAnsiTheme="minorHAnsi" w:cstheme="minorHAnsi"/>
        </w:rPr>
        <w:t xml:space="preserve">  Disse kostnadene vil bli fakturert og tilbakebetalt i </w:t>
      </w:r>
      <w:r w:rsidR="0068621C">
        <w:rPr>
          <w:rFonts w:asciiTheme="minorHAnsi" w:hAnsiTheme="minorHAnsi" w:cstheme="minorHAnsi"/>
        </w:rPr>
        <w:t>løpet av oktober</w:t>
      </w:r>
      <w:r w:rsidR="00BE61BA" w:rsidRPr="00CD3574">
        <w:rPr>
          <w:rFonts w:asciiTheme="minorHAnsi" w:hAnsiTheme="minorHAnsi" w:cstheme="minorHAnsi"/>
        </w:rPr>
        <w:t xml:space="preserve">. </w:t>
      </w:r>
      <w:r w:rsidR="00CD3574">
        <w:rPr>
          <w:rFonts w:asciiTheme="minorHAnsi" w:hAnsiTheme="minorHAnsi" w:cstheme="minorHAnsi"/>
        </w:rPr>
        <w:t xml:space="preserve">Den ikke budsjetterte summen </w:t>
      </w:r>
      <w:r w:rsidR="00CD3574">
        <w:rPr>
          <w:rFonts w:asciiTheme="minorHAnsi" w:hAnsiTheme="minorHAnsi" w:cstheme="minorHAnsi"/>
          <w:i/>
        </w:rPr>
        <w:t xml:space="preserve">Forskningsmidler </w:t>
      </w:r>
      <w:r w:rsidR="00CD3574">
        <w:rPr>
          <w:rFonts w:asciiTheme="minorHAnsi" w:hAnsiTheme="minorHAnsi" w:cstheme="minorHAnsi"/>
        </w:rPr>
        <w:t xml:space="preserve">er kostnader finansiert av såkornmidler fra UiO:Energi. </w:t>
      </w:r>
    </w:p>
    <w:p w14:paraId="75F09543" w14:textId="77777777" w:rsidR="00300950" w:rsidRPr="0008040D" w:rsidRDefault="00300950" w:rsidP="00300950">
      <w:pPr>
        <w:spacing w:line="360" w:lineRule="auto"/>
        <w:rPr>
          <w:rFonts w:ascii="Times New Roman" w:hAnsi="Times New Roman"/>
          <w:sz w:val="24"/>
        </w:rPr>
      </w:pPr>
    </w:p>
    <w:p w14:paraId="75CE0B9C" w14:textId="77777777" w:rsidR="00CD3574" w:rsidRDefault="00120FAC" w:rsidP="00BE61BA">
      <w:pPr>
        <w:spacing w:line="240" w:lineRule="auto"/>
        <w:rPr>
          <w:sz w:val="20"/>
        </w:rPr>
      </w:pPr>
      <w:r>
        <w:rPr>
          <w:rFonts w:ascii="Times New Roman" w:hAnsi="Times New Roman"/>
          <w:sz w:val="24"/>
        </w:rPr>
        <w:t xml:space="preserve">Prognosen for </w:t>
      </w:r>
      <w:r w:rsidR="00E27B28" w:rsidRPr="00B329BC">
        <w:rPr>
          <w:rFonts w:ascii="Times New Roman" w:hAnsi="Times New Roman"/>
          <w:i/>
          <w:sz w:val="24"/>
        </w:rPr>
        <w:t>Nettobidrag fra prosjekter</w:t>
      </w:r>
      <w:r>
        <w:rPr>
          <w:rFonts w:ascii="Times New Roman" w:hAnsi="Times New Roman"/>
          <w:sz w:val="24"/>
        </w:rPr>
        <w:t xml:space="preserve"> i 2018 har økt fra 7 369 til 8 499 blant annet som følge av flytting av prosjekt med intern UiO-finansiering til eksterne prosjekter.</w:t>
      </w:r>
      <w:r w:rsidR="004B1C2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Tabell </w:t>
      </w:r>
      <w:r w:rsidR="001C69A5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viser hvordan nettobidraget fordeler seg på de ulike prosjektene så langt i året.</w:t>
      </w:r>
    </w:p>
    <w:p w14:paraId="2D350106" w14:textId="77777777" w:rsidR="00CD3574" w:rsidRDefault="00CD3574" w:rsidP="00BE61BA">
      <w:pPr>
        <w:spacing w:line="240" w:lineRule="auto"/>
        <w:rPr>
          <w:sz w:val="20"/>
        </w:rPr>
      </w:pPr>
    </w:p>
    <w:p w14:paraId="1974CC91" w14:textId="3220BFCB" w:rsidR="0068621C" w:rsidRPr="00C32262" w:rsidRDefault="00120FAC" w:rsidP="00BE61BA">
      <w:pPr>
        <w:spacing w:line="240" w:lineRule="auto"/>
        <w:rPr>
          <w:sz w:val="20"/>
        </w:rPr>
      </w:pPr>
      <w:r w:rsidRPr="00C32262">
        <w:rPr>
          <w:sz w:val="20"/>
        </w:rPr>
        <w:t>Tabell 3</w:t>
      </w:r>
      <w:r w:rsidR="00F949DA" w:rsidRPr="00C32262">
        <w:rPr>
          <w:sz w:val="20"/>
        </w:rPr>
        <w:t>: Kategorisering av timelønn, drift og investeringer</w:t>
      </w:r>
    </w:p>
    <w:tbl>
      <w:tblPr>
        <w:tblW w:w="94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580"/>
        <w:gridCol w:w="1580"/>
        <w:gridCol w:w="1580"/>
        <w:gridCol w:w="1580"/>
      </w:tblGrid>
      <w:tr w:rsidR="003A38AF" w:rsidRPr="003A38AF" w14:paraId="6A9CA85B" w14:textId="77777777" w:rsidTr="003A38AF">
        <w:trPr>
          <w:trHeight w:val="52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DA9D983" w14:textId="77777777" w:rsidR="003A38AF" w:rsidRPr="003A38AF" w:rsidRDefault="003A38AF" w:rsidP="003A38A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0A50BA" w14:textId="77777777" w:rsidR="00BE61BA" w:rsidRDefault="003A38AF" w:rsidP="003A38A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Regnskap aug </w:t>
            </w:r>
          </w:p>
          <w:p w14:paraId="6EC7DD1D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b-NO"/>
              </w:rPr>
              <w:t>2017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47A90CF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b-NO"/>
              </w:rPr>
              <w:t>Regnskap aug 2018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D11FEA2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b-NO"/>
              </w:rPr>
              <w:t>Budsjett aug 2018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66277D9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Årsbudsjett</w:t>
            </w:r>
          </w:p>
        </w:tc>
      </w:tr>
      <w:tr w:rsidR="003A38AF" w:rsidRPr="003A38AF" w14:paraId="7438FF51" w14:textId="77777777" w:rsidTr="003A38AF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DCE6F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393D0" w14:textId="77777777" w:rsidR="003A38AF" w:rsidRPr="003A38AF" w:rsidRDefault="003A38AF" w:rsidP="003A38AF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Personlige forskningsmidler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A437E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C03B5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6DC71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3C2E8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 </w:t>
            </w:r>
          </w:p>
        </w:tc>
      </w:tr>
      <w:tr w:rsidR="00BE61BA" w:rsidRPr="003A38AF" w14:paraId="07E6F785" w14:textId="77777777" w:rsidTr="003A38AF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DCE6F1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7B9BD" w14:textId="77777777" w:rsidR="00BE61BA" w:rsidRPr="003A38AF" w:rsidRDefault="00BE61BA" w:rsidP="003A38AF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D767B" w14:textId="77777777" w:rsidR="00BE61BA" w:rsidRPr="003A38AF" w:rsidRDefault="00BE61BA" w:rsidP="003A38A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718F6" w14:textId="77777777" w:rsidR="00BE61BA" w:rsidRPr="003A38AF" w:rsidRDefault="00BE61BA" w:rsidP="003A38A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56BC2" w14:textId="77777777" w:rsidR="00BE61BA" w:rsidRPr="003A38AF" w:rsidRDefault="00BE61BA" w:rsidP="003A38A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3DBE1" w14:textId="77777777" w:rsidR="00BE61BA" w:rsidRPr="003A38AF" w:rsidRDefault="00BE61BA" w:rsidP="003A38A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nb-NO"/>
              </w:rPr>
            </w:pPr>
          </w:p>
        </w:tc>
      </w:tr>
      <w:tr w:rsidR="003A38AF" w:rsidRPr="003A38AF" w14:paraId="2056220F" w14:textId="77777777" w:rsidTr="003A38AF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DCE6F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2664F" w14:textId="77777777" w:rsidR="003A38AF" w:rsidRPr="003A38AF" w:rsidRDefault="00BE61BA" w:rsidP="003A38AF">
            <w:pPr>
              <w:spacing w:line="240" w:lineRule="auto"/>
              <w:ind w:firstLineChars="100" w:firstLine="200"/>
              <w:rPr>
                <w:rFonts w:eastAsia="Times New Roman"/>
                <w:color w:val="4F81BD"/>
                <w:sz w:val="20"/>
                <w:szCs w:val="20"/>
                <w:lang w:eastAsia="nb-NO"/>
              </w:rPr>
            </w:pPr>
            <w:r>
              <w:rPr>
                <w:rFonts w:eastAsia="Times New Roman"/>
                <w:color w:val="4F81BD"/>
                <w:sz w:val="20"/>
                <w:szCs w:val="20"/>
                <w:lang w:val="en-US" w:eastAsia="nb-NO"/>
              </w:rPr>
              <w:t>Drif</w:t>
            </w:r>
            <w:r w:rsidR="003A38AF" w:rsidRPr="003A38AF">
              <w:rPr>
                <w:rFonts w:eastAsia="Times New Roman"/>
                <w:color w:val="4F81BD"/>
                <w:sz w:val="20"/>
                <w:szCs w:val="20"/>
                <w:lang w:val="en-US" w:eastAsia="nb-NO"/>
              </w:rPr>
              <w:t>t</w:t>
            </w:r>
            <w:r>
              <w:rPr>
                <w:rFonts w:eastAsia="Times New Roman"/>
                <w:color w:val="4F81BD"/>
                <w:sz w:val="20"/>
                <w:szCs w:val="20"/>
                <w:lang w:val="en-US" w:eastAsia="nb-NO"/>
              </w:rPr>
              <w:t>s</w:t>
            </w:r>
            <w:r w:rsidR="003A38AF" w:rsidRPr="003A38AF">
              <w:rPr>
                <w:rFonts w:eastAsia="Times New Roman"/>
                <w:color w:val="4F81BD"/>
                <w:sz w:val="20"/>
                <w:szCs w:val="20"/>
                <w:lang w:val="en-US" w:eastAsia="nb-NO"/>
              </w:rPr>
              <w:t>midler postdoktorer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BB8FE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color w:val="4F81BD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color w:val="4F81BD"/>
                <w:sz w:val="20"/>
                <w:szCs w:val="20"/>
                <w:lang w:eastAsia="nb-NO"/>
              </w:rPr>
              <w:t>35 545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4CF60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color w:val="4F81BD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color w:val="4F81BD"/>
                <w:sz w:val="20"/>
                <w:szCs w:val="20"/>
                <w:lang w:eastAsia="nb-NO"/>
              </w:rPr>
              <w:t>67 129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46D52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color w:val="4F81BD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color w:val="4F81BD"/>
                <w:sz w:val="20"/>
                <w:szCs w:val="20"/>
                <w:lang w:eastAsia="nb-NO"/>
              </w:rPr>
              <w:t>7 000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2954B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color w:val="4F81BD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color w:val="4F81BD"/>
                <w:sz w:val="20"/>
                <w:szCs w:val="20"/>
                <w:lang w:eastAsia="nb-NO"/>
              </w:rPr>
              <w:t>20 000</w:t>
            </w:r>
          </w:p>
        </w:tc>
      </w:tr>
      <w:tr w:rsidR="003A38AF" w:rsidRPr="003A38AF" w14:paraId="36DC2D48" w14:textId="77777777" w:rsidTr="003A38AF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DCE6F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55BB0" w14:textId="77777777" w:rsidR="003A38AF" w:rsidRPr="003A38AF" w:rsidRDefault="003A38AF" w:rsidP="003A38AF">
            <w:pPr>
              <w:spacing w:line="240" w:lineRule="auto"/>
              <w:ind w:firstLineChars="100" w:firstLine="200"/>
              <w:rPr>
                <w:rFonts w:eastAsia="Times New Roman"/>
                <w:color w:val="4F81BD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color w:val="4F81BD"/>
                <w:sz w:val="20"/>
                <w:szCs w:val="20"/>
                <w:lang w:val="en-US" w:eastAsia="nb-NO"/>
              </w:rPr>
              <w:t>Driftsmidler stipendiat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B384C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color w:val="4F81BD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color w:val="4F81BD"/>
                <w:sz w:val="20"/>
                <w:szCs w:val="20"/>
                <w:lang w:eastAsia="nb-NO"/>
              </w:rPr>
              <w:t>116 287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B686B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color w:val="4F81BD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color w:val="4F81BD"/>
                <w:sz w:val="20"/>
                <w:szCs w:val="20"/>
                <w:lang w:eastAsia="nb-NO"/>
              </w:rPr>
              <w:t>39 502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19C2D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color w:val="4F81BD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color w:val="4F81BD"/>
                <w:sz w:val="20"/>
                <w:szCs w:val="20"/>
                <w:lang w:eastAsia="nb-NO"/>
              </w:rPr>
              <w:t>42 000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149E2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color w:val="4F81BD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color w:val="4F81BD"/>
                <w:sz w:val="20"/>
                <w:szCs w:val="20"/>
                <w:lang w:eastAsia="nb-NO"/>
              </w:rPr>
              <w:t>120 000</w:t>
            </w:r>
          </w:p>
        </w:tc>
      </w:tr>
      <w:tr w:rsidR="003A38AF" w:rsidRPr="003A38AF" w14:paraId="321CEB80" w14:textId="77777777" w:rsidTr="003A38AF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DCE6F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1F641" w14:textId="77777777" w:rsidR="003A38AF" w:rsidRPr="003A38AF" w:rsidRDefault="003A38AF" w:rsidP="003A38AF">
            <w:pPr>
              <w:spacing w:line="240" w:lineRule="auto"/>
              <w:ind w:firstLineChars="100" w:firstLine="200"/>
              <w:rPr>
                <w:rFonts w:eastAsia="Times New Roman"/>
                <w:color w:val="4F81BD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color w:val="4F81BD"/>
                <w:sz w:val="20"/>
                <w:szCs w:val="20"/>
                <w:lang w:val="en-US" w:eastAsia="nb-NO"/>
              </w:rPr>
              <w:t>Driftsmidler vitenskaplig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0DFF3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color w:val="4F81BD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color w:val="4F81BD"/>
                <w:sz w:val="20"/>
                <w:szCs w:val="20"/>
                <w:lang w:eastAsia="nb-NO"/>
              </w:rPr>
              <w:t>93 871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C39EE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color w:val="4F81BD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color w:val="4F81BD"/>
                <w:sz w:val="20"/>
                <w:szCs w:val="20"/>
                <w:lang w:eastAsia="nb-NO"/>
              </w:rPr>
              <w:t>95 055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73255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color w:val="4F81BD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color w:val="4F81BD"/>
                <w:sz w:val="20"/>
                <w:szCs w:val="20"/>
                <w:lang w:eastAsia="nb-NO"/>
              </w:rPr>
              <w:t>224 500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2BCAB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color w:val="4F81BD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color w:val="4F81BD"/>
                <w:sz w:val="20"/>
                <w:szCs w:val="20"/>
                <w:lang w:eastAsia="nb-NO"/>
              </w:rPr>
              <w:t>370 000</w:t>
            </w:r>
          </w:p>
        </w:tc>
      </w:tr>
      <w:tr w:rsidR="003A38AF" w:rsidRPr="003A38AF" w14:paraId="31E44AA7" w14:textId="77777777" w:rsidTr="003A38AF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DCE6F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35F40" w14:textId="77777777" w:rsidR="003A38AF" w:rsidRPr="003A38AF" w:rsidRDefault="003A38AF" w:rsidP="003A38AF">
            <w:pPr>
              <w:spacing w:line="240" w:lineRule="auto"/>
              <w:ind w:firstLineChars="100" w:firstLine="200"/>
              <w:rPr>
                <w:rFonts w:eastAsia="Times New Roman"/>
                <w:color w:val="4F81BD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color w:val="4F81BD"/>
                <w:sz w:val="20"/>
                <w:szCs w:val="20"/>
                <w:lang w:val="en-US" w:eastAsia="nb-NO"/>
              </w:rPr>
              <w:t>Småforsk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9D43F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color w:val="4F81BD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color w:val="4F81BD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03EFD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color w:val="4F81BD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color w:val="4F81BD"/>
                <w:sz w:val="20"/>
                <w:szCs w:val="20"/>
                <w:lang w:eastAsia="nb-NO"/>
              </w:rPr>
              <w:t>15032,43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D6266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color w:val="4F81BD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color w:val="4F81BD"/>
                <w:sz w:val="20"/>
                <w:szCs w:val="20"/>
                <w:lang w:eastAsia="nb-NO"/>
              </w:rPr>
              <w:t>64 750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4D1E0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color w:val="4F81BD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color w:val="4F81BD"/>
                <w:sz w:val="20"/>
                <w:szCs w:val="20"/>
                <w:lang w:eastAsia="nb-NO"/>
              </w:rPr>
              <w:t>185 000</w:t>
            </w:r>
          </w:p>
        </w:tc>
      </w:tr>
      <w:tr w:rsidR="003A38AF" w:rsidRPr="003A38AF" w14:paraId="35B379A9" w14:textId="77777777" w:rsidTr="003A38AF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DCE6F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0BF10" w14:textId="77777777" w:rsidR="003A38AF" w:rsidRPr="003A38AF" w:rsidRDefault="003A38AF" w:rsidP="003A38AF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Sum personlige forskningsmidler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E8CDA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245 703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E37FA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b-NO"/>
              </w:rPr>
              <w:t>216 719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62ED0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b-NO"/>
              </w:rPr>
              <w:t>338 250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EB5DB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695 000</w:t>
            </w:r>
          </w:p>
        </w:tc>
      </w:tr>
      <w:tr w:rsidR="003A38AF" w:rsidRPr="003A38AF" w14:paraId="64C2598B" w14:textId="77777777" w:rsidTr="003A38AF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DCE6F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F1FD6" w14:textId="77777777" w:rsidR="003A38AF" w:rsidRPr="003A38AF" w:rsidRDefault="003A38AF" w:rsidP="003A38AF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Andre driftstiltak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52D9C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37D7B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1C049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A79DF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 </w:t>
            </w:r>
          </w:p>
        </w:tc>
      </w:tr>
      <w:tr w:rsidR="003A38AF" w:rsidRPr="003A38AF" w14:paraId="766A3F92" w14:textId="77777777" w:rsidTr="003A38AF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DCE6F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21B51" w14:textId="77777777" w:rsidR="003A38AF" w:rsidRPr="003A38AF" w:rsidRDefault="003A38AF" w:rsidP="003A38AF">
            <w:pPr>
              <w:spacing w:line="240" w:lineRule="auto"/>
              <w:ind w:firstLineChars="100" w:firstLine="200"/>
              <w:rPr>
                <w:rFonts w:eastAsia="Times New Roman"/>
                <w:color w:val="4F81BD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color w:val="4F81BD"/>
                <w:sz w:val="20"/>
                <w:szCs w:val="20"/>
                <w:lang w:val="en-US" w:eastAsia="nb-NO"/>
              </w:rPr>
              <w:t>Studenttiltak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EA287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color w:val="4F81BD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color w:val="4F81BD"/>
                <w:sz w:val="20"/>
                <w:szCs w:val="20"/>
                <w:lang w:eastAsia="nb-NO"/>
              </w:rPr>
              <w:t>23 987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E0669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color w:val="4F81BD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color w:val="4F81BD"/>
                <w:sz w:val="20"/>
                <w:szCs w:val="20"/>
                <w:lang w:eastAsia="nb-NO"/>
              </w:rPr>
              <w:t>37 786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8BD3E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color w:val="4F81BD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color w:val="4F81BD"/>
                <w:sz w:val="20"/>
                <w:szCs w:val="20"/>
                <w:lang w:eastAsia="nb-NO"/>
              </w:rPr>
              <w:t>19 250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0B7DC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color w:val="4F81BD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color w:val="4F81BD"/>
                <w:sz w:val="20"/>
                <w:szCs w:val="20"/>
                <w:lang w:eastAsia="nb-NO"/>
              </w:rPr>
              <w:t>55 000</w:t>
            </w:r>
          </w:p>
        </w:tc>
      </w:tr>
      <w:tr w:rsidR="003A38AF" w:rsidRPr="003A38AF" w14:paraId="4EDF8AD7" w14:textId="77777777" w:rsidTr="003A38AF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DCE6F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5BD45" w14:textId="77777777" w:rsidR="003A38AF" w:rsidRPr="003A38AF" w:rsidRDefault="003A38AF" w:rsidP="003A38AF">
            <w:pPr>
              <w:spacing w:line="240" w:lineRule="auto"/>
              <w:ind w:firstLineChars="100" w:firstLine="200"/>
              <w:rPr>
                <w:rFonts w:eastAsia="Times New Roman"/>
                <w:color w:val="4F81BD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color w:val="4F81BD"/>
                <w:sz w:val="20"/>
                <w:szCs w:val="20"/>
                <w:lang w:val="en-US" w:eastAsia="nb-NO"/>
              </w:rPr>
              <w:t>Faglige tiltak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AFC60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color w:val="4F81BD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color w:val="4F81BD"/>
                <w:sz w:val="20"/>
                <w:szCs w:val="20"/>
                <w:lang w:eastAsia="nb-NO"/>
              </w:rPr>
              <w:t>122 374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0AF76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color w:val="4F81BD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color w:val="4F81BD"/>
                <w:sz w:val="20"/>
                <w:szCs w:val="20"/>
                <w:lang w:eastAsia="nb-NO"/>
              </w:rPr>
              <w:t>367 344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831BD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color w:val="4F81BD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color w:val="4F81BD"/>
                <w:sz w:val="20"/>
                <w:szCs w:val="20"/>
                <w:lang w:eastAsia="nb-NO"/>
              </w:rPr>
              <w:t>162 083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8DA67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color w:val="4F81BD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color w:val="4F81BD"/>
                <w:sz w:val="20"/>
                <w:szCs w:val="20"/>
                <w:lang w:eastAsia="nb-NO"/>
              </w:rPr>
              <w:t>350 000</w:t>
            </w:r>
          </w:p>
        </w:tc>
      </w:tr>
      <w:tr w:rsidR="003A38AF" w:rsidRPr="003A38AF" w14:paraId="64F0B521" w14:textId="77777777" w:rsidTr="003A38AF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DCE6F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E49D2" w14:textId="77777777" w:rsidR="003A38AF" w:rsidRPr="003A38AF" w:rsidRDefault="003A38AF" w:rsidP="003A38AF">
            <w:pPr>
              <w:spacing w:line="240" w:lineRule="auto"/>
              <w:ind w:firstLineChars="100" w:firstLine="200"/>
              <w:rPr>
                <w:rFonts w:eastAsia="Times New Roman"/>
                <w:color w:val="4F81BD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color w:val="4F81BD"/>
                <w:sz w:val="20"/>
                <w:szCs w:val="20"/>
                <w:lang w:val="en-US" w:eastAsia="nb-NO"/>
              </w:rPr>
              <w:t>Generell drift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2F6D3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color w:val="4F81BD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color w:val="4F81BD"/>
                <w:sz w:val="20"/>
                <w:szCs w:val="20"/>
                <w:lang w:eastAsia="nb-NO"/>
              </w:rPr>
              <w:t>263 492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3C81B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color w:val="4F81BD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color w:val="4F81BD"/>
                <w:sz w:val="20"/>
                <w:szCs w:val="20"/>
                <w:lang w:eastAsia="nb-NO"/>
              </w:rPr>
              <w:t>291 471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08A47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color w:val="4F81BD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color w:val="4F81BD"/>
                <w:sz w:val="20"/>
                <w:szCs w:val="20"/>
                <w:lang w:eastAsia="nb-NO"/>
              </w:rPr>
              <w:t>340 000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590CC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color w:val="4F81BD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color w:val="4F81BD"/>
                <w:sz w:val="20"/>
                <w:szCs w:val="20"/>
                <w:lang w:eastAsia="nb-NO"/>
              </w:rPr>
              <w:t>510 000</w:t>
            </w:r>
          </w:p>
        </w:tc>
      </w:tr>
      <w:tr w:rsidR="003A38AF" w:rsidRPr="003A38AF" w14:paraId="48221A1A" w14:textId="77777777" w:rsidTr="003A38AF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DCE6F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196B9" w14:textId="77777777" w:rsidR="003A38AF" w:rsidRPr="003A38AF" w:rsidRDefault="003A38AF" w:rsidP="003A38AF">
            <w:pPr>
              <w:spacing w:line="240" w:lineRule="auto"/>
              <w:ind w:firstLineChars="100" w:firstLine="200"/>
              <w:rPr>
                <w:rFonts w:eastAsia="Times New Roman"/>
                <w:color w:val="4F81BD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color w:val="4F81BD"/>
                <w:sz w:val="20"/>
                <w:szCs w:val="20"/>
                <w:lang w:val="en-US" w:eastAsia="nb-NO"/>
              </w:rPr>
              <w:t>PhD-utdanning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FE19F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color w:val="4F81BD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color w:val="4F81BD"/>
                <w:sz w:val="20"/>
                <w:szCs w:val="20"/>
                <w:lang w:eastAsia="nb-NO"/>
              </w:rPr>
              <w:t>81 692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F3CE6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color w:val="4F81BD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color w:val="4F81BD"/>
                <w:sz w:val="20"/>
                <w:szCs w:val="20"/>
                <w:lang w:eastAsia="nb-NO"/>
              </w:rPr>
              <w:t>181 595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00202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color w:val="4F81BD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color w:val="4F81BD"/>
                <w:sz w:val="20"/>
                <w:szCs w:val="20"/>
                <w:lang w:eastAsia="nb-NO"/>
              </w:rPr>
              <w:t>273 333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9DCA2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color w:val="4F81BD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color w:val="4F81BD"/>
                <w:sz w:val="20"/>
                <w:szCs w:val="20"/>
                <w:lang w:eastAsia="nb-NO"/>
              </w:rPr>
              <w:t>410 000</w:t>
            </w:r>
          </w:p>
        </w:tc>
      </w:tr>
      <w:tr w:rsidR="003A38AF" w:rsidRPr="003A38AF" w14:paraId="14ED712E" w14:textId="77777777" w:rsidTr="003A38AF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DCE6F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03CD2" w14:textId="77777777" w:rsidR="003A38AF" w:rsidRPr="003A38AF" w:rsidRDefault="003A38AF" w:rsidP="003A38AF">
            <w:pPr>
              <w:spacing w:line="240" w:lineRule="auto"/>
              <w:ind w:firstLineChars="100" w:firstLine="200"/>
              <w:rPr>
                <w:rFonts w:eastAsia="Times New Roman"/>
                <w:color w:val="4F81BD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color w:val="4F81BD"/>
                <w:sz w:val="20"/>
                <w:szCs w:val="20"/>
                <w:lang w:val="en-US" w:eastAsia="nb-NO"/>
              </w:rPr>
              <w:t>Formidling og kommunikasjon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A3B47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color w:val="4F81BD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color w:val="4F81BD"/>
                <w:sz w:val="20"/>
                <w:szCs w:val="20"/>
                <w:lang w:eastAsia="nb-NO"/>
              </w:rPr>
              <w:t>2026,25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0D75A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color w:val="4F81BD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color w:val="4F81BD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27940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color w:val="4F81BD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color w:val="4F81BD"/>
                <w:sz w:val="20"/>
                <w:szCs w:val="20"/>
                <w:lang w:eastAsia="nb-NO"/>
              </w:rPr>
              <w:t>40 000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2791F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color w:val="4F81BD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color w:val="4F81BD"/>
                <w:sz w:val="20"/>
                <w:szCs w:val="20"/>
                <w:lang w:eastAsia="nb-NO"/>
              </w:rPr>
              <w:t>60 000</w:t>
            </w:r>
          </w:p>
        </w:tc>
      </w:tr>
      <w:tr w:rsidR="003A38AF" w:rsidRPr="003A38AF" w14:paraId="7549D92A" w14:textId="77777777" w:rsidTr="003A38AF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DCE6F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BC028" w14:textId="77777777" w:rsidR="003A38AF" w:rsidRPr="003A38AF" w:rsidRDefault="003A38AF" w:rsidP="003A38AF">
            <w:pPr>
              <w:spacing w:line="240" w:lineRule="auto"/>
              <w:ind w:firstLineChars="100" w:firstLine="200"/>
              <w:rPr>
                <w:rFonts w:eastAsia="Times New Roman"/>
                <w:color w:val="4F81BD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color w:val="4F81BD"/>
                <w:sz w:val="20"/>
                <w:szCs w:val="20"/>
                <w:lang w:val="en-US" w:eastAsia="nb-NO"/>
              </w:rPr>
              <w:t>Styring og ledelse pott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7C58D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color w:val="4F81BD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color w:val="4F81BD"/>
                <w:sz w:val="20"/>
                <w:szCs w:val="20"/>
                <w:lang w:eastAsia="nb-NO"/>
              </w:rPr>
              <w:t>22 402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2985A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color w:val="4F81BD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color w:val="4F81BD"/>
                <w:sz w:val="20"/>
                <w:szCs w:val="20"/>
                <w:lang w:eastAsia="nb-NO"/>
              </w:rPr>
              <w:t>20 029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B7E46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color w:val="4F81BD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color w:val="4F81BD"/>
                <w:sz w:val="20"/>
                <w:szCs w:val="20"/>
                <w:lang w:eastAsia="nb-NO"/>
              </w:rPr>
              <w:t>66 667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82B81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color w:val="4F81BD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color w:val="4F81BD"/>
                <w:sz w:val="20"/>
                <w:szCs w:val="20"/>
                <w:lang w:eastAsia="nb-NO"/>
              </w:rPr>
              <w:t>100 000</w:t>
            </w:r>
          </w:p>
        </w:tc>
      </w:tr>
      <w:tr w:rsidR="003A38AF" w:rsidRPr="003A38AF" w14:paraId="7BB60DD2" w14:textId="77777777" w:rsidTr="003A38AF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DCE6F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D1047" w14:textId="77777777" w:rsidR="003A38AF" w:rsidRPr="003A38AF" w:rsidRDefault="003A38AF" w:rsidP="003A38AF">
            <w:pPr>
              <w:spacing w:line="240" w:lineRule="auto"/>
              <w:ind w:firstLineChars="100" w:firstLine="200"/>
              <w:rPr>
                <w:rFonts w:eastAsia="Times New Roman"/>
                <w:color w:val="4F81BD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color w:val="4F81BD"/>
                <w:sz w:val="20"/>
                <w:szCs w:val="20"/>
                <w:lang w:val="en-US" w:eastAsia="nb-NO"/>
              </w:rPr>
              <w:t>Internhusleie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63C8C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color w:val="4F81BD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color w:val="4F81BD"/>
                <w:sz w:val="20"/>
                <w:szCs w:val="20"/>
                <w:lang w:eastAsia="nb-NO"/>
              </w:rPr>
              <w:t>738 824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DAF03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color w:val="4F81BD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color w:val="4F81BD"/>
                <w:sz w:val="20"/>
                <w:szCs w:val="20"/>
                <w:lang w:eastAsia="nb-NO"/>
              </w:rPr>
              <w:t>1 261 504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FCBFF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color w:val="4F81BD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color w:val="4F81BD"/>
                <w:sz w:val="20"/>
                <w:szCs w:val="20"/>
                <w:lang w:eastAsia="nb-NO"/>
              </w:rPr>
              <w:t>1 428 171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1E188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color w:val="4F81BD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color w:val="4F81BD"/>
                <w:sz w:val="20"/>
                <w:szCs w:val="20"/>
                <w:lang w:eastAsia="nb-NO"/>
              </w:rPr>
              <w:t>2 142 256</w:t>
            </w:r>
          </w:p>
        </w:tc>
      </w:tr>
      <w:tr w:rsidR="003A38AF" w:rsidRPr="003A38AF" w14:paraId="0D65BD29" w14:textId="77777777" w:rsidTr="003A38AF">
        <w:trPr>
          <w:trHeight w:val="37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DCE6F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D3564" w14:textId="77777777" w:rsidR="003A38AF" w:rsidRPr="003A38AF" w:rsidRDefault="003A38AF" w:rsidP="003A38AF">
            <w:pPr>
              <w:spacing w:line="240" w:lineRule="auto"/>
              <w:ind w:firstLineChars="100" w:firstLine="200"/>
              <w:rPr>
                <w:rFonts w:eastAsia="Times New Roman"/>
                <w:color w:val="4F81BD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color w:val="4F81BD"/>
                <w:sz w:val="20"/>
                <w:szCs w:val="20"/>
                <w:lang w:eastAsia="nb-NO"/>
              </w:rPr>
              <w:t>Forskningsmidler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5F9CB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color w:val="4F81BD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color w:val="4F81BD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CD0FE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color w:val="4F81BD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color w:val="4F81BD"/>
                <w:sz w:val="20"/>
                <w:szCs w:val="20"/>
                <w:lang w:eastAsia="nb-NO"/>
              </w:rPr>
              <w:t>23 211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A577F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color w:val="4F81BD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color w:val="4F81BD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B77F5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color w:val="4F81BD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color w:val="4F81BD"/>
                <w:sz w:val="20"/>
                <w:szCs w:val="20"/>
                <w:lang w:eastAsia="nb-NO"/>
              </w:rPr>
              <w:t> </w:t>
            </w:r>
          </w:p>
        </w:tc>
      </w:tr>
      <w:tr w:rsidR="003A38AF" w:rsidRPr="003A38AF" w14:paraId="7BB85210" w14:textId="77777777" w:rsidTr="003A38AF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DCE6F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6887E" w14:textId="77777777" w:rsidR="003A38AF" w:rsidRPr="003A38AF" w:rsidRDefault="003A38AF" w:rsidP="003A38AF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Sum andre driftstiltak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EFEE5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1 254 797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58F14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b-NO"/>
              </w:rPr>
              <w:t>2 182 940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EBDB9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b-NO"/>
              </w:rPr>
              <w:t>2 329 504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1124F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3 627 256</w:t>
            </w:r>
          </w:p>
        </w:tc>
      </w:tr>
      <w:tr w:rsidR="003A38AF" w:rsidRPr="003A38AF" w14:paraId="188DAA80" w14:textId="77777777" w:rsidTr="003A38AF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DCE6F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12945" w14:textId="77777777" w:rsidR="003A38AF" w:rsidRPr="003A38AF" w:rsidRDefault="003A38AF" w:rsidP="003A38AF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Undervisning og eksamenstiltak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926D7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b-NO"/>
              </w:rPr>
              <w:t>139 666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3D9B9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b-NO"/>
              </w:rPr>
              <w:t>107 015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48352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b-NO"/>
              </w:rPr>
              <w:t>105 750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EB6F5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b-NO"/>
              </w:rPr>
              <w:t>180 000</w:t>
            </w:r>
          </w:p>
        </w:tc>
      </w:tr>
      <w:tr w:rsidR="003A38AF" w:rsidRPr="003A38AF" w14:paraId="433FF240" w14:textId="77777777" w:rsidTr="003A38AF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48DD4"/>
            <w:noWrap/>
            <w:vAlign w:val="center"/>
            <w:hideMark/>
          </w:tcPr>
          <w:p w14:paraId="0DD2ADA5" w14:textId="77777777" w:rsidR="003A38AF" w:rsidRPr="003A38AF" w:rsidRDefault="003A38AF" w:rsidP="003A38AF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b-NO"/>
              </w:rPr>
              <w:t>Sum timelønn, drift og investeringer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noWrap/>
            <w:vAlign w:val="center"/>
            <w:hideMark/>
          </w:tcPr>
          <w:p w14:paraId="665C4ECF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1 640 166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noWrap/>
            <w:vAlign w:val="center"/>
            <w:hideMark/>
          </w:tcPr>
          <w:p w14:paraId="7E483A0E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b-NO"/>
              </w:rPr>
              <w:t>2 506 674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noWrap/>
            <w:vAlign w:val="center"/>
            <w:hideMark/>
          </w:tcPr>
          <w:p w14:paraId="33E829A4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b-NO"/>
              </w:rPr>
              <w:t>2 773 504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noWrap/>
            <w:vAlign w:val="center"/>
            <w:hideMark/>
          </w:tcPr>
          <w:p w14:paraId="6C924A79" w14:textId="77777777" w:rsidR="003A38AF" w:rsidRPr="003A38AF" w:rsidRDefault="003A38AF" w:rsidP="003A38AF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A38A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4 502 256</w:t>
            </w:r>
          </w:p>
        </w:tc>
      </w:tr>
    </w:tbl>
    <w:p w14:paraId="073D697B" w14:textId="77777777" w:rsidR="001C69A5" w:rsidRDefault="001C69A5" w:rsidP="001C69A5">
      <w:pPr>
        <w:pStyle w:val="Default"/>
        <w:spacing w:line="360" w:lineRule="auto"/>
        <w:ind w:right="-481"/>
        <w:rPr>
          <w:b/>
          <w:sz w:val="22"/>
        </w:rPr>
      </w:pPr>
    </w:p>
    <w:p w14:paraId="5A043A32" w14:textId="77777777" w:rsidR="001C69A5" w:rsidRPr="001C69A5" w:rsidRDefault="001C69A5" w:rsidP="001C69A5">
      <w:pPr>
        <w:pStyle w:val="Heading1"/>
      </w:pPr>
      <w:r>
        <w:t>Eksternfinansiert virksomhet</w:t>
      </w:r>
    </w:p>
    <w:p w14:paraId="6F3977F0" w14:textId="77777777" w:rsidR="001C69A5" w:rsidRPr="00C32262" w:rsidRDefault="001C69A5" w:rsidP="00C32262">
      <w:pPr>
        <w:pStyle w:val="Default"/>
        <w:spacing w:line="360" w:lineRule="auto"/>
        <w:rPr>
          <w:sz w:val="20"/>
          <w:szCs w:val="20"/>
        </w:rPr>
      </w:pPr>
      <w:r w:rsidRPr="00C32262">
        <w:rPr>
          <w:sz w:val="20"/>
          <w:szCs w:val="20"/>
        </w:rPr>
        <w:t>Tabell 4: Eksternfinansiert virksomhet resultat 2. tertial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9"/>
        <w:gridCol w:w="1023"/>
        <w:gridCol w:w="1023"/>
        <w:gridCol w:w="1023"/>
        <w:gridCol w:w="1024"/>
        <w:gridCol w:w="1024"/>
        <w:gridCol w:w="1024"/>
        <w:gridCol w:w="1022"/>
      </w:tblGrid>
      <w:tr w:rsidR="001C69A5" w:rsidRPr="00DB348D" w14:paraId="48137452" w14:textId="77777777" w:rsidTr="006B7A49">
        <w:trPr>
          <w:trHeight w:val="64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BB21FC" w14:textId="77777777" w:rsidR="001C69A5" w:rsidRPr="00DB348D" w:rsidRDefault="001C69A5" w:rsidP="006B7A4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  <w:t>Eksternfinansiert virksomhet</w:t>
            </w:r>
          </w:p>
        </w:tc>
      </w:tr>
      <w:tr w:rsidR="001C69A5" w:rsidRPr="00DB348D" w14:paraId="7A27CF12" w14:textId="77777777" w:rsidTr="006B7A49">
        <w:trPr>
          <w:trHeight w:val="390"/>
        </w:trPr>
        <w:tc>
          <w:tcPr>
            <w:tcW w:w="101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25B56" w14:textId="77777777" w:rsidR="001C69A5" w:rsidRPr="00DB348D" w:rsidRDefault="001C69A5" w:rsidP="006B7A4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227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56BB26" w14:textId="77777777" w:rsidR="001C69A5" w:rsidRPr="00DB348D" w:rsidRDefault="001C69A5" w:rsidP="006B7A4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  <w:t>Per aug</w:t>
            </w:r>
          </w:p>
        </w:tc>
        <w:tc>
          <w:tcPr>
            <w:tcW w:w="1707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567087" w14:textId="77777777" w:rsidR="001C69A5" w:rsidRPr="00DB348D" w:rsidRDefault="001C69A5" w:rsidP="006B7A4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  <w:t>Prognose 2018</w:t>
            </w:r>
          </w:p>
        </w:tc>
      </w:tr>
      <w:tr w:rsidR="001C69A5" w:rsidRPr="00DB348D" w14:paraId="1BEEC7C0" w14:textId="77777777" w:rsidTr="006B7A49">
        <w:trPr>
          <w:trHeight w:val="465"/>
        </w:trPr>
        <w:tc>
          <w:tcPr>
            <w:tcW w:w="101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43FD22F" w14:textId="77777777" w:rsidR="001C69A5" w:rsidRPr="00DB348D" w:rsidRDefault="001C69A5" w:rsidP="006B7A4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F6F3D98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Regnskap aug 2018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99AFF54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Budsjett aug 2018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A423751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Budsjett- avvik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9511DA7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Regnskap aug 2017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17EB79FE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Årsbudsjett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3FB3D572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Oppdatert årsprognose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1105DE3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Budsjett- endring</w:t>
            </w:r>
          </w:p>
        </w:tc>
      </w:tr>
      <w:tr w:rsidR="001C69A5" w:rsidRPr="00DB348D" w14:paraId="11280366" w14:textId="77777777" w:rsidTr="006B7A49">
        <w:trPr>
          <w:trHeight w:val="300"/>
        </w:trPr>
        <w:tc>
          <w:tcPr>
            <w:tcW w:w="101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1D503" w14:textId="77777777" w:rsidR="001C69A5" w:rsidRPr="00DB348D" w:rsidRDefault="001C69A5" w:rsidP="006B7A4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Inntekter fra bevilgning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599C6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-17 197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917EB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-20 691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78E28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3 494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54AB4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-15 410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FC1BF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-31 039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74A8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-30 735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03AAE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304</w:t>
            </w:r>
          </w:p>
        </w:tc>
      </w:tr>
      <w:tr w:rsidR="001C69A5" w:rsidRPr="00DB348D" w14:paraId="18D1C0F8" w14:textId="77777777" w:rsidTr="006B7A49">
        <w:trPr>
          <w:trHeight w:val="300"/>
        </w:trPr>
        <w:tc>
          <w:tcPr>
            <w:tcW w:w="101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71FE5" w14:textId="77777777" w:rsidR="001C69A5" w:rsidRPr="00DB348D" w:rsidRDefault="001C69A5" w:rsidP="006B7A4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Personalkostnader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F64BD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7 337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88A9C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9 794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A8EB6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-2 457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1C8B1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5 507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CE959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15 482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0B3E8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13 184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28414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-2 298</w:t>
            </w:r>
          </w:p>
        </w:tc>
      </w:tr>
      <w:tr w:rsidR="001C69A5" w:rsidRPr="00DB348D" w14:paraId="6C167B06" w14:textId="77777777" w:rsidTr="006B7A49">
        <w:trPr>
          <w:trHeight w:val="300"/>
        </w:trPr>
        <w:tc>
          <w:tcPr>
            <w:tcW w:w="101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4AB6E" w14:textId="77777777" w:rsidR="001C69A5" w:rsidRPr="00DB348D" w:rsidRDefault="001C69A5" w:rsidP="006B7A4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Driftskostnader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183C8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777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99447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2 245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A551D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-1 468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013F9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666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1A84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3 368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4F25F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4 409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31E19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1 041</w:t>
            </w:r>
          </w:p>
        </w:tc>
      </w:tr>
      <w:tr w:rsidR="001C69A5" w:rsidRPr="00DB348D" w14:paraId="3D5AA8ED" w14:textId="77777777" w:rsidTr="006B7A49">
        <w:trPr>
          <w:trHeight w:val="315"/>
        </w:trPr>
        <w:tc>
          <w:tcPr>
            <w:tcW w:w="101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A7C22" w14:textId="77777777" w:rsidR="001C69A5" w:rsidRPr="00DB348D" w:rsidRDefault="001C69A5" w:rsidP="006B7A4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Investeringer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8EE02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F8B69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3F5F6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FCEC2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BD401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D0A7" w14:textId="77777777" w:rsidR="001C69A5" w:rsidRPr="00DB348D" w:rsidRDefault="001C69A5" w:rsidP="006B7A49">
            <w:pPr>
              <w:spacing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1698B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1C69A5" w:rsidRPr="00DB348D" w14:paraId="0ACF57F5" w14:textId="77777777" w:rsidTr="006B7A49">
        <w:trPr>
          <w:trHeight w:val="465"/>
        </w:trPr>
        <w:tc>
          <w:tcPr>
            <w:tcW w:w="10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14:paraId="5A0F651C" w14:textId="77777777" w:rsidR="001C69A5" w:rsidRPr="00DB348D" w:rsidRDefault="001C69A5" w:rsidP="006B7A4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Årsresultat uten nettobidrag og prosjektavslutning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1BA6DB49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-9 074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6B373983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-8 652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40A6470F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-422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4600D6A7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-9 237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14:paraId="29379418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-12 189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14:paraId="543924E0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-13 141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2F487C25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-952</w:t>
            </w:r>
          </w:p>
        </w:tc>
      </w:tr>
      <w:tr w:rsidR="001C69A5" w:rsidRPr="00DB348D" w14:paraId="1DD152D1" w14:textId="77777777" w:rsidTr="006B7A49">
        <w:trPr>
          <w:trHeight w:val="300"/>
        </w:trPr>
        <w:tc>
          <w:tcPr>
            <w:tcW w:w="101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E148A" w14:textId="77777777" w:rsidR="001C69A5" w:rsidRPr="00DB348D" w:rsidRDefault="001C69A5" w:rsidP="006B7A4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Nettobidrag fra prosjekter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6D75C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5 346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0CD7A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5 284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767C2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62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45E49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5 356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F274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7 705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F4779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8 868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5C632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1 163</w:t>
            </w:r>
          </w:p>
        </w:tc>
      </w:tr>
      <w:tr w:rsidR="001C69A5" w:rsidRPr="00DB348D" w14:paraId="011CECBE" w14:textId="77777777" w:rsidTr="006B7A49">
        <w:trPr>
          <w:trHeight w:val="315"/>
        </w:trPr>
        <w:tc>
          <w:tcPr>
            <w:tcW w:w="101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2EFED" w14:textId="77777777" w:rsidR="001C69A5" w:rsidRPr="00DB348D" w:rsidRDefault="001C69A5" w:rsidP="006B7A4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Prosjektavslutning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AFBF7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-60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0F44B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8CF9D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-60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1A93A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120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60530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1EA97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-43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168C3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-43</w:t>
            </w:r>
          </w:p>
        </w:tc>
      </w:tr>
      <w:tr w:rsidR="001C69A5" w:rsidRPr="00DB348D" w14:paraId="409F2BBC" w14:textId="77777777" w:rsidTr="006B7A49">
        <w:trPr>
          <w:trHeight w:val="315"/>
        </w:trPr>
        <w:tc>
          <w:tcPr>
            <w:tcW w:w="10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4DB2D7B7" w14:textId="77777777" w:rsidR="001C69A5" w:rsidRPr="00DB348D" w:rsidRDefault="001C69A5" w:rsidP="006B7A4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 xml:space="preserve">Årsresultat  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610A6524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-3 789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66D6FD54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-3 368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60C164E4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-421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764875D0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-3 761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54DC977C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-4 484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2DAC51AE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-4 317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46C64DB0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167</w:t>
            </w:r>
          </w:p>
        </w:tc>
      </w:tr>
      <w:tr w:rsidR="001C69A5" w:rsidRPr="00DB348D" w14:paraId="30B90A87" w14:textId="77777777" w:rsidTr="006B7A49">
        <w:trPr>
          <w:trHeight w:val="315"/>
        </w:trPr>
        <w:tc>
          <w:tcPr>
            <w:tcW w:w="101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D9A1F" w14:textId="77777777" w:rsidR="001C69A5" w:rsidRPr="00DB348D" w:rsidRDefault="001C69A5" w:rsidP="006B7A4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Overført fra i fjor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E7465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-9 920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43E6D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-9 920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BBF7A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D8A1C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-10 631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7FF09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-9 920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FABD9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-9 920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08AC9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1C69A5" w:rsidRPr="00DB348D" w14:paraId="1FBAF276" w14:textId="77777777" w:rsidTr="006B7A49">
        <w:trPr>
          <w:trHeight w:val="315"/>
        </w:trPr>
        <w:tc>
          <w:tcPr>
            <w:tcW w:w="101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45D597C9" w14:textId="77777777" w:rsidR="001C69A5" w:rsidRPr="00DB348D" w:rsidRDefault="001C69A5" w:rsidP="006B7A4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Akkumulert resultat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14:paraId="2E2CE372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-13 709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14:paraId="0B1E55B3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-13 288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14:paraId="25CA59DE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-421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14:paraId="5EE66912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-14 392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4859C60F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-14 404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37100438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-14 237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14:paraId="7C7E98DB" w14:textId="77777777" w:rsidR="001C69A5" w:rsidRPr="00DB348D" w:rsidRDefault="001C69A5" w:rsidP="006B7A49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DB348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167</w:t>
            </w:r>
          </w:p>
        </w:tc>
      </w:tr>
    </w:tbl>
    <w:p w14:paraId="61F457BB" w14:textId="77777777" w:rsidR="001C69A5" w:rsidRDefault="001C69A5" w:rsidP="00A90F67"/>
    <w:p w14:paraId="75D689FB" w14:textId="55CCB2F8" w:rsidR="001C69A5" w:rsidRDefault="001C69A5" w:rsidP="00A90F67">
      <w:r>
        <w:t xml:space="preserve">Den eksternfinansierte virksomheten er kommentert innledningsvis under </w:t>
      </w:r>
      <w:r w:rsidRPr="001C69A5">
        <w:rPr>
          <w:i/>
        </w:rPr>
        <w:t>Totalvirksomheten</w:t>
      </w:r>
      <w:r>
        <w:rPr>
          <w:i/>
        </w:rPr>
        <w:t>.</w:t>
      </w:r>
      <w:r w:rsidR="00CD3574">
        <w:t xml:space="preserve"> Inntekter fra bevilgning i tabell 4 er brutto inntekter </w:t>
      </w:r>
      <w:r w:rsidR="00D01ECD">
        <w:t xml:space="preserve">fra eksterne prosjekter </w:t>
      </w:r>
      <w:r w:rsidR="00CD3574">
        <w:t xml:space="preserve">mottatt i 2018. Disse inntektene er ikke periodisert. </w:t>
      </w:r>
      <w:r w:rsidR="00D01ECD">
        <w:t xml:space="preserve">Det akkumulerte resultatet i denne tabellen viser ubrukte prosjektmidler ved TIK. Det er disse midlene fakultetsledelsen har inkludert i TIKs akkumulerte overskudd. </w:t>
      </w:r>
    </w:p>
    <w:p w14:paraId="772CD2FC" w14:textId="77777777" w:rsidR="00D01ECD" w:rsidRPr="00CD3574" w:rsidRDefault="00D01ECD" w:rsidP="00A90F67"/>
    <w:p w14:paraId="42785559" w14:textId="77777777" w:rsidR="00A90F67" w:rsidRPr="00C32262" w:rsidRDefault="001C69A5" w:rsidP="00C32262">
      <w:pPr>
        <w:rPr>
          <w:sz w:val="20"/>
          <w:szCs w:val="20"/>
        </w:rPr>
      </w:pPr>
      <w:r w:rsidRPr="00C32262">
        <w:rPr>
          <w:sz w:val="20"/>
          <w:szCs w:val="20"/>
        </w:rPr>
        <w:t>Tabell 5</w:t>
      </w:r>
      <w:r w:rsidR="00DF57DC" w:rsidRPr="00C32262">
        <w:rPr>
          <w:sz w:val="20"/>
          <w:szCs w:val="20"/>
        </w:rPr>
        <w:t xml:space="preserve">: Nettobidrag per prosjekt </w:t>
      </w:r>
      <w:r w:rsidR="009C4B36" w:rsidRPr="00C32262">
        <w:rPr>
          <w:sz w:val="20"/>
          <w:szCs w:val="20"/>
        </w:rPr>
        <w:t>2</w:t>
      </w:r>
      <w:r w:rsidR="00DF57DC" w:rsidRPr="00C32262">
        <w:rPr>
          <w:sz w:val="20"/>
          <w:szCs w:val="20"/>
        </w:rPr>
        <w:t>. tertial</w:t>
      </w:r>
    </w:p>
    <w:p w14:paraId="1D6F1837" w14:textId="77777777" w:rsidR="00C32262" w:rsidRDefault="003B789D" w:rsidP="009364D7">
      <w:pPr>
        <w:pStyle w:val="Default"/>
        <w:keepNext/>
        <w:spacing w:line="360" w:lineRule="auto"/>
        <w:ind w:right="-481"/>
      </w:pPr>
      <w:r w:rsidRPr="001512A0">
        <w:rPr>
          <w:noProof/>
        </w:rPr>
        <w:drawing>
          <wp:inline distT="0" distB="0" distL="0" distR="0" wp14:anchorId="32AC5E48" wp14:editId="19A9CE1E">
            <wp:extent cx="5762625" cy="516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0CA80" w14:textId="77777777" w:rsidR="00E332BE" w:rsidRDefault="001C69A5" w:rsidP="001C69A5">
      <w:pPr>
        <w:pStyle w:val="Default"/>
        <w:spacing w:line="360" w:lineRule="auto"/>
        <w:ind w:right="-481"/>
        <w:rPr>
          <w:b/>
        </w:rPr>
      </w:pPr>
      <w:r>
        <w:rPr>
          <w:b/>
        </w:rPr>
        <w:t xml:space="preserve"> </w:t>
      </w:r>
    </w:p>
    <w:p w14:paraId="1B656625" w14:textId="77777777" w:rsidR="00F62477" w:rsidRDefault="00F62477" w:rsidP="006E6259">
      <w:pPr>
        <w:pStyle w:val="Default"/>
        <w:spacing w:line="360" w:lineRule="auto"/>
        <w:ind w:right="-481"/>
        <w:rPr>
          <w:b/>
        </w:rPr>
      </w:pPr>
    </w:p>
    <w:p w14:paraId="1C0C6486" w14:textId="77777777" w:rsidR="00F62477" w:rsidRPr="00E332BE" w:rsidRDefault="00F62477" w:rsidP="006E6259">
      <w:pPr>
        <w:pStyle w:val="Default"/>
        <w:spacing w:line="360" w:lineRule="auto"/>
        <w:ind w:right="-481"/>
        <w:rPr>
          <w:b/>
        </w:rPr>
      </w:pPr>
    </w:p>
    <w:p w14:paraId="22791C4F" w14:textId="77777777" w:rsidR="001C69A5" w:rsidRDefault="001C69A5">
      <w:pPr>
        <w:spacing w:line="240" w:lineRule="auto"/>
        <w:rPr>
          <w:rFonts w:ascii="Cambria" w:eastAsia="SimSun" w:hAnsi="Cambria"/>
          <w:b/>
          <w:bCs/>
          <w:kern w:val="32"/>
          <w:sz w:val="32"/>
          <w:szCs w:val="32"/>
        </w:rPr>
      </w:pPr>
      <w:r>
        <w:br w:type="page"/>
      </w:r>
    </w:p>
    <w:p w14:paraId="1B3FBBF2" w14:textId="77777777" w:rsidR="00E332BE" w:rsidRDefault="00E332BE" w:rsidP="00E332BE">
      <w:pPr>
        <w:pStyle w:val="Heading1"/>
      </w:pPr>
      <w:r>
        <w:t>Langtidsprognose</w:t>
      </w:r>
    </w:p>
    <w:p w14:paraId="771A040F" w14:textId="77777777" w:rsidR="009364D7" w:rsidRPr="00FC4C9A" w:rsidRDefault="001C69A5" w:rsidP="00FC4C9A">
      <w:pPr>
        <w:rPr>
          <w:b/>
        </w:rPr>
      </w:pPr>
      <w:r>
        <w:rPr>
          <w:b/>
        </w:rPr>
        <w:t>Tabell 6</w:t>
      </w:r>
      <w:r w:rsidR="00FC4C9A" w:rsidRPr="00FC4C9A">
        <w:rPr>
          <w:b/>
        </w:rPr>
        <w:t>: Oppdatert langtidsprognose</w:t>
      </w:r>
    </w:p>
    <w:tbl>
      <w:tblPr>
        <w:tblW w:w="9769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1559"/>
        <w:gridCol w:w="1481"/>
        <w:gridCol w:w="1496"/>
        <w:gridCol w:w="1417"/>
        <w:gridCol w:w="1276"/>
      </w:tblGrid>
      <w:tr w:rsidR="00300950" w14:paraId="65CA123D" w14:textId="77777777" w:rsidTr="00300950">
        <w:trPr>
          <w:trHeight w:val="390"/>
        </w:trPr>
        <w:tc>
          <w:tcPr>
            <w:tcW w:w="97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1AA8CA" w14:textId="77777777" w:rsidR="00300950" w:rsidRDefault="00300950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nb-NO"/>
              </w:rPr>
              <w:t>Langtidsprognose</w:t>
            </w:r>
          </w:p>
        </w:tc>
      </w:tr>
      <w:tr w:rsidR="00300950" w14:paraId="39FAD99D" w14:textId="77777777" w:rsidTr="00300950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2AAB98" w14:textId="77777777" w:rsidR="00300950" w:rsidRDefault="00300950">
            <w:pPr>
              <w:rPr>
                <w:color w:val="000000"/>
                <w:sz w:val="16"/>
                <w:szCs w:val="16"/>
                <w:lang w:eastAsia="nb-NO"/>
              </w:rPr>
            </w:pPr>
            <w:r>
              <w:rPr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059C3E" w14:textId="77777777" w:rsidR="00300950" w:rsidRDefault="0030095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  <w:t>Prognose 2018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47CEF1" w14:textId="77777777" w:rsidR="00300950" w:rsidRDefault="0030095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  <w:t>Prognose 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DAB3EA" w14:textId="77777777" w:rsidR="00300950" w:rsidRDefault="0030095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  <w:t>Prognose 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34F2FA" w14:textId="77777777" w:rsidR="00300950" w:rsidRDefault="0030095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  <w:t>Prognose 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5A0191" w14:textId="77777777" w:rsidR="00300950" w:rsidRDefault="0030095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  <w:t>Prognose 2022</w:t>
            </w:r>
          </w:p>
        </w:tc>
      </w:tr>
      <w:tr w:rsidR="00300950" w14:paraId="71D8BB96" w14:textId="77777777" w:rsidTr="00300950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7B3E41" w14:textId="77777777" w:rsidR="00300950" w:rsidRDefault="00300950" w:rsidP="00300950">
            <w:pPr>
              <w:rPr>
                <w:color w:val="000000"/>
                <w:sz w:val="16"/>
                <w:szCs w:val="16"/>
                <w:lang w:eastAsia="nb-NO"/>
              </w:rPr>
            </w:pPr>
            <w:r>
              <w:rPr>
                <w:color w:val="000000"/>
                <w:sz w:val="16"/>
                <w:szCs w:val="16"/>
                <w:lang w:eastAsia="nb-NO"/>
              </w:rPr>
              <w:t>Inntekter fra bevilgning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10398C" w14:textId="77777777" w:rsidR="00300950" w:rsidRDefault="00300950" w:rsidP="00300950">
            <w:pPr>
              <w:jc w:val="right"/>
              <w:rPr>
                <w:color w:val="000000"/>
                <w:sz w:val="16"/>
                <w:szCs w:val="16"/>
                <w:lang w:eastAsia="nb-NO"/>
              </w:rPr>
            </w:pPr>
            <w:r>
              <w:rPr>
                <w:color w:val="000000"/>
                <w:sz w:val="16"/>
                <w:szCs w:val="16"/>
                <w:lang w:eastAsia="nb-NO"/>
              </w:rPr>
              <w:t>-14 181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7CAC51" w14:textId="77777777" w:rsidR="00300950" w:rsidRDefault="00300950" w:rsidP="00300950">
            <w:pPr>
              <w:jc w:val="right"/>
              <w:rPr>
                <w:color w:val="000000"/>
                <w:sz w:val="16"/>
                <w:szCs w:val="16"/>
                <w:lang w:eastAsia="nb-NO"/>
              </w:rPr>
            </w:pPr>
            <w:r>
              <w:rPr>
                <w:color w:val="000000"/>
                <w:sz w:val="16"/>
                <w:szCs w:val="16"/>
                <w:lang w:eastAsia="nb-NO"/>
              </w:rPr>
              <w:t>-12 755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EB6E06" w14:textId="77777777" w:rsidR="00300950" w:rsidRDefault="00300950" w:rsidP="00300950">
            <w:pPr>
              <w:jc w:val="right"/>
              <w:rPr>
                <w:color w:val="000000"/>
                <w:sz w:val="16"/>
                <w:szCs w:val="16"/>
                <w:lang w:eastAsia="nb-NO"/>
              </w:rPr>
            </w:pPr>
            <w:r>
              <w:rPr>
                <w:color w:val="000000"/>
                <w:sz w:val="16"/>
                <w:szCs w:val="16"/>
                <w:lang w:eastAsia="nb-NO"/>
              </w:rPr>
              <w:t>-12 641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E8CAC5" w14:textId="77777777" w:rsidR="00300950" w:rsidRDefault="00300950" w:rsidP="00300950">
            <w:pPr>
              <w:jc w:val="right"/>
              <w:rPr>
                <w:color w:val="000000"/>
                <w:sz w:val="16"/>
                <w:szCs w:val="16"/>
                <w:lang w:eastAsia="nb-NO"/>
              </w:rPr>
            </w:pPr>
            <w:r>
              <w:rPr>
                <w:color w:val="000000"/>
                <w:sz w:val="16"/>
                <w:szCs w:val="16"/>
                <w:lang w:eastAsia="nb-NO"/>
              </w:rPr>
              <w:t>-12 152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B7EBAA" w14:textId="77777777" w:rsidR="00300950" w:rsidRDefault="00300950" w:rsidP="00300950">
            <w:pPr>
              <w:jc w:val="right"/>
              <w:rPr>
                <w:color w:val="000000"/>
                <w:sz w:val="16"/>
                <w:szCs w:val="16"/>
                <w:lang w:eastAsia="nb-NO"/>
              </w:rPr>
            </w:pPr>
            <w:r>
              <w:rPr>
                <w:color w:val="000000"/>
                <w:sz w:val="16"/>
                <w:szCs w:val="16"/>
                <w:lang w:eastAsia="nb-NO"/>
              </w:rPr>
              <w:t>-11 420</w:t>
            </w:r>
          </w:p>
        </w:tc>
      </w:tr>
      <w:tr w:rsidR="00300950" w14:paraId="50281CCA" w14:textId="77777777" w:rsidTr="00300950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A159D0" w14:textId="77777777" w:rsidR="00300950" w:rsidRDefault="00300950" w:rsidP="00300950">
            <w:pPr>
              <w:rPr>
                <w:color w:val="000000"/>
                <w:sz w:val="16"/>
                <w:szCs w:val="16"/>
                <w:lang w:eastAsia="nb-NO"/>
              </w:rPr>
            </w:pPr>
            <w:r>
              <w:rPr>
                <w:color w:val="000000"/>
                <w:sz w:val="16"/>
                <w:szCs w:val="16"/>
                <w:lang w:eastAsia="nb-NO"/>
              </w:rPr>
              <w:t>Andre basisinntekter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FF3ED4" w14:textId="77777777" w:rsidR="00300950" w:rsidRDefault="00300950" w:rsidP="00300950">
            <w:pPr>
              <w:jc w:val="right"/>
              <w:rPr>
                <w:color w:val="000000"/>
                <w:sz w:val="16"/>
                <w:szCs w:val="16"/>
                <w:lang w:eastAsia="nb-NO"/>
              </w:rPr>
            </w:pPr>
            <w:r>
              <w:rPr>
                <w:color w:val="000000"/>
                <w:sz w:val="16"/>
                <w:szCs w:val="16"/>
                <w:lang w:eastAsia="nb-NO"/>
              </w:rPr>
              <w:t>-838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1A22AF" w14:textId="77777777" w:rsidR="00300950" w:rsidRDefault="00300950" w:rsidP="00300950">
            <w:pPr>
              <w:jc w:val="right"/>
              <w:rPr>
                <w:color w:val="000000"/>
                <w:sz w:val="16"/>
                <w:szCs w:val="16"/>
                <w:lang w:eastAsia="nb-NO"/>
              </w:rPr>
            </w:pPr>
            <w:r>
              <w:rPr>
                <w:color w:val="000000"/>
                <w:sz w:val="16"/>
                <w:szCs w:val="16"/>
                <w:lang w:eastAsia="nb-NO"/>
              </w:rPr>
              <w:t>-2 531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B15AFB" w14:textId="77777777" w:rsidR="00300950" w:rsidRDefault="00300950" w:rsidP="00300950">
            <w:pPr>
              <w:jc w:val="right"/>
              <w:rPr>
                <w:color w:val="000000"/>
                <w:sz w:val="16"/>
                <w:szCs w:val="16"/>
                <w:lang w:eastAsia="nb-NO"/>
              </w:rPr>
            </w:pPr>
            <w:r>
              <w:rPr>
                <w:color w:val="000000"/>
                <w:sz w:val="16"/>
                <w:szCs w:val="16"/>
                <w:lang w:eastAsia="nb-NO"/>
              </w:rPr>
              <w:t>-2 161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FC2CFF" w14:textId="77777777" w:rsidR="00300950" w:rsidRDefault="00300950" w:rsidP="00300950">
            <w:pPr>
              <w:jc w:val="right"/>
              <w:rPr>
                <w:color w:val="000000"/>
                <w:sz w:val="16"/>
                <w:szCs w:val="16"/>
                <w:lang w:eastAsia="nb-NO"/>
              </w:rPr>
            </w:pPr>
            <w:r>
              <w:rPr>
                <w:color w:val="000000"/>
                <w:sz w:val="16"/>
                <w:szCs w:val="16"/>
                <w:lang w:eastAsia="nb-NO"/>
              </w:rPr>
              <w:t>-528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56F600" w14:textId="77777777" w:rsidR="00300950" w:rsidRDefault="00300950" w:rsidP="00300950">
            <w:pPr>
              <w:jc w:val="right"/>
              <w:rPr>
                <w:color w:val="000000"/>
                <w:sz w:val="16"/>
                <w:szCs w:val="16"/>
                <w:lang w:eastAsia="nb-NO"/>
              </w:rPr>
            </w:pPr>
            <w:r>
              <w:rPr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300950" w14:paraId="57E021AC" w14:textId="77777777" w:rsidTr="00300950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E55377" w14:textId="77777777" w:rsidR="00300950" w:rsidRDefault="00300950" w:rsidP="00300950">
            <w:pPr>
              <w:rPr>
                <w:color w:val="000000"/>
                <w:sz w:val="16"/>
                <w:szCs w:val="16"/>
                <w:lang w:eastAsia="nb-NO"/>
              </w:rPr>
            </w:pPr>
            <w:r>
              <w:rPr>
                <w:color w:val="000000"/>
                <w:sz w:val="16"/>
                <w:szCs w:val="16"/>
                <w:lang w:eastAsia="nb-NO"/>
              </w:rPr>
              <w:t>Personalkostnader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BFCD27" w14:textId="77777777" w:rsidR="00300950" w:rsidRDefault="00300950" w:rsidP="00300950">
            <w:pPr>
              <w:jc w:val="right"/>
              <w:rPr>
                <w:color w:val="000000"/>
                <w:sz w:val="16"/>
                <w:szCs w:val="16"/>
                <w:lang w:eastAsia="nb-NO"/>
              </w:rPr>
            </w:pPr>
            <w:r>
              <w:rPr>
                <w:color w:val="000000"/>
                <w:sz w:val="16"/>
                <w:szCs w:val="16"/>
                <w:lang w:eastAsia="nb-NO"/>
              </w:rPr>
              <w:t>18 612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2E319A" w14:textId="77777777" w:rsidR="00300950" w:rsidRDefault="00300950" w:rsidP="00300950">
            <w:pPr>
              <w:jc w:val="right"/>
              <w:rPr>
                <w:color w:val="000000"/>
                <w:sz w:val="16"/>
                <w:szCs w:val="16"/>
                <w:lang w:eastAsia="nb-NO"/>
              </w:rPr>
            </w:pPr>
            <w:r>
              <w:rPr>
                <w:color w:val="000000"/>
                <w:sz w:val="16"/>
                <w:szCs w:val="16"/>
                <w:lang w:eastAsia="nb-NO"/>
              </w:rPr>
              <w:t>21 679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31B204" w14:textId="77777777" w:rsidR="00300950" w:rsidRDefault="00300950" w:rsidP="00300950">
            <w:pPr>
              <w:jc w:val="right"/>
              <w:rPr>
                <w:color w:val="000000"/>
                <w:sz w:val="16"/>
                <w:szCs w:val="16"/>
                <w:lang w:eastAsia="nb-NO"/>
              </w:rPr>
            </w:pPr>
            <w:r>
              <w:rPr>
                <w:color w:val="000000"/>
                <w:sz w:val="16"/>
                <w:szCs w:val="16"/>
                <w:lang w:eastAsia="nb-NO"/>
              </w:rPr>
              <w:t>20 246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8731D3" w14:textId="77777777" w:rsidR="00300950" w:rsidRDefault="00300950" w:rsidP="00300950">
            <w:pPr>
              <w:jc w:val="right"/>
              <w:rPr>
                <w:color w:val="000000"/>
                <w:sz w:val="16"/>
                <w:szCs w:val="16"/>
                <w:lang w:eastAsia="nb-NO"/>
              </w:rPr>
            </w:pPr>
            <w:r>
              <w:rPr>
                <w:color w:val="000000"/>
                <w:sz w:val="16"/>
                <w:szCs w:val="16"/>
                <w:lang w:eastAsia="nb-NO"/>
              </w:rPr>
              <w:t>16 587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8F348E" w14:textId="77777777" w:rsidR="00300950" w:rsidRDefault="00300950" w:rsidP="00300950">
            <w:pPr>
              <w:jc w:val="right"/>
              <w:rPr>
                <w:color w:val="000000"/>
                <w:sz w:val="16"/>
                <w:szCs w:val="16"/>
                <w:lang w:eastAsia="nb-NO"/>
              </w:rPr>
            </w:pPr>
            <w:r>
              <w:rPr>
                <w:color w:val="000000"/>
                <w:sz w:val="16"/>
                <w:szCs w:val="16"/>
                <w:lang w:eastAsia="nb-NO"/>
              </w:rPr>
              <w:t>15 123</w:t>
            </w:r>
          </w:p>
        </w:tc>
      </w:tr>
      <w:tr w:rsidR="00300950" w14:paraId="6A0562A7" w14:textId="77777777" w:rsidTr="00300950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78A783" w14:textId="77777777" w:rsidR="00300950" w:rsidRDefault="00300950" w:rsidP="00300950">
            <w:pPr>
              <w:rPr>
                <w:color w:val="000000"/>
                <w:sz w:val="16"/>
                <w:szCs w:val="16"/>
                <w:lang w:eastAsia="nb-NO"/>
              </w:rPr>
            </w:pPr>
            <w:r>
              <w:rPr>
                <w:color w:val="000000"/>
                <w:sz w:val="16"/>
                <w:szCs w:val="16"/>
                <w:lang w:eastAsia="nb-NO"/>
              </w:rPr>
              <w:t>Driftskostnader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BF393C" w14:textId="77777777" w:rsidR="00300950" w:rsidRDefault="00300950" w:rsidP="00300950">
            <w:pPr>
              <w:jc w:val="right"/>
              <w:rPr>
                <w:color w:val="000000"/>
                <w:sz w:val="16"/>
                <w:szCs w:val="16"/>
                <w:lang w:eastAsia="nb-NO"/>
              </w:rPr>
            </w:pPr>
            <w:r>
              <w:rPr>
                <w:color w:val="000000"/>
                <w:sz w:val="16"/>
                <w:szCs w:val="16"/>
                <w:lang w:eastAsia="nb-NO"/>
              </w:rPr>
              <w:t>3 811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039B2D" w14:textId="77777777" w:rsidR="00300950" w:rsidRDefault="00300950" w:rsidP="00300950">
            <w:pPr>
              <w:jc w:val="right"/>
              <w:rPr>
                <w:color w:val="000000"/>
                <w:sz w:val="16"/>
                <w:szCs w:val="16"/>
                <w:lang w:eastAsia="nb-NO"/>
              </w:rPr>
            </w:pPr>
            <w:r>
              <w:rPr>
                <w:color w:val="000000"/>
                <w:sz w:val="16"/>
                <w:szCs w:val="16"/>
                <w:lang w:eastAsia="nb-NO"/>
              </w:rPr>
              <w:t>3 591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64C1CC" w14:textId="77777777" w:rsidR="00300950" w:rsidRDefault="00300950" w:rsidP="00300950">
            <w:pPr>
              <w:jc w:val="right"/>
              <w:rPr>
                <w:color w:val="000000"/>
                <w:sz w:val="16"/>
                <w:szCs w:val="16"/>
                <w:lang w:eastAsia="nb-NO"/>
              </w:rPr>
            </w:pPr>
            <w:r>
              <w:rPr>
                <w:color w:val="000000"/>
                <w:sz w:val="16"/>
                <w:szCs w:val="16"/>
                <w:lang w:eastAsia="nb-NO"/>
              </w:rPr>
              <w:t>3 591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6B8EA5" w14:textId="77777777" w:rsidR="00300950" w:rsidRDefault="00300950" w:rsidP="00300950">
            <w:pPr>
              <w:jc w:val="right"/>
              <w:rPr>
                <w:color w:val="000000"/>
                <w:sz w:val="16"/>
                <w:szCs w:val="16"/>
                <w:lang w:eastAsia="nb-NO"/>
              </w:rPr>
            </w:pPr>
            <w:r>
              <w:rPr>
                <w:color w:val="000000"/>
                <w:sz w:val="16"/>
                <w:szCs w:val="16"/>
                <w:lang w:eastAsia="nb-NO"/>
              </w:rPr>
              <w:t>3 571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4C3120" w14:textId="77777777" w:rsidR="00300950" w:rsidRDefault="00300950" w:rsidP="00300950">
            <w:pPr>
              <w:jc w:val="right"/>
              <w:rPr>
                <w:color w:val="000000"/>
                <w:sz w:val="16"/>
                <w:szCs w:val="16"/>
                <w:lang w:eastAsia="nb-NO"/>
              </w:rPr>
            </w:pPr>
            <w:r>
              <w:rPr>
                <w:color w:val="000000"/>
                <w:sz w:val="16"/>
                <w:szCs w:val="16"/>
                <w:lang w:eastAsia="nb-NO"/>
              </w:rPr>
              <w:t>3 551</w:t>
            </w:r>
          </w:p>
        </w:tc>
      </w:tr>
      <w:tr w:rsidR="00300950" w14:paraId="37D7C256" w14:textId="77777777" w:rsidTr="00300950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A68C30" w14:textId="77777777" w:rsidR="00300950" w:rsidRDefault="00300950" w:rsidP="00300950">
            <w:pPr>
              <w:rPr>
                <w:color w:val="000000"/>
                <w:sz w:val="16"/>
                <w:szCs w:val="16"/>
                <w:lang w:eastAsia="nb-NO"/>
              </w:rPr>
            </w:pPr>
            <w:r>
              <w:rPr>
                <w:color w:val="000000"/>
                <w:sz w:val="16"/>
                <w:szCs w:val="16"/>
                <w:lang w:eastAsia="nb-NO"/>
              </w:rPr>
              <w:t>Investeringer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5D0060" w14:textId="77777777" w:rsidR="00300950" w:rsidRDefault="00300950" w:rsidP="00300950">
            <w:pPr>
              <w:jc w:val="right"/>
              <w:rPr>
                <w:color w:val="000000"/>
                <w:sz w:val="16"/>
                <w:szCs w:val="16"/>
                <w:lang w:eastAsia="nb-NO"/>
              </w:rPr>
            </w:pPr>
            <w:r>
              <w:rPr>
                <w:color w:val="000000"/>
                <w:sz w:val="16"/>
                <w:szCs w:val="16"/>
                <w:lang w:eastAsia="nb-NO"/>
              </w:rPr>
              <w:t>140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E4554A" w14:textId="77777777" w:rsidR="00300950" w:rsidRDefault="00300950" w:rsidP="00300950">
            <w:pPr>
              <w:jc w:val="right"/>
              <w:rPr>
                <w:color w:val="000000"/>
                <w:sz w:val="16"/>
                <w:szCs w:val="16"/>
                <w:lang w:eastAsia="nb-NO"/>
              </w:rPr>
            </w:pPr>
            <w:r>
              <w:rPr>
                <w:color w:val="000000"/>
                <w:sz w:val="16"/>
                <w:szCs w:val="16"/>
                <w:lang w:eastAsia="nb-NO"/>
              </w:rPr>
              <w:t>140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A8DFD0" w14:textId="77777777" w:rsidR="00300950" w:rsidRDefault="00300950" w:rsidP="00300950">
            <w:pPr>
              <w:jc w:val="right"/>
              <w:rPr>
                <w:color w:val="000000"/>
                <w:sz w:val="16"/>
                <w:szCs w:val="16"/>
                <w:lang w:eastAsia="nb-NO"/>
              </w:rPr>
            </w:pPr>
            <w:r>
              <w:rPr>
                <w:color w:val="000000"/>
                <w:sz w:val="16"/>
                <w:szCs w:val="16"/>
                <w:lang w:eastAsia="nb-NO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9EDF91" w14:textId="77777777" w:rsidR="00300950" w:rsidRDefault="00300950" w:rsidP="00300950">
            <w:pPr>
              <w:jc w:val="right"/>
              <w:rPr>
                <w:color w:val="000000"/>
                <w:sz w:val="16"/>
                <w:szCs w:val="16"/>
                <w:lang w:eastAsia="nb-NO"/>
              </w:rPr>
            </w:pPr>
            <w:r>
              <w:rPr>
                <w:color w:val="000000"/>
                <w:sz w:val="16"/>
                <w:szCs w:val="16"/>
                <w:lang w:eastAsia="nb-NO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F38F93" w14:textId="77777777" w:rsidR="00300950" w:rsidRDefault="00300950" w:rsidP="00300950">
            <w:pPr>
              <w:jc w:val="right"/>
              <w:rPr>
                <w:color w:val="000000"/>
                <w:sz w:val="16"/>
                <w:szCs w:val="16"/>
                <w:lang w:eastAsia="nb-NO"/>
              </w:rPr>
            </w:pPr>
            <w:r>
              <w:rPr>
                <w:color w:val="000000"/>
                <w:sz w:val="16"/>
                <w:szCs w:val="16"/>
                <w:lang w:eastAsia="nb-NO"/>
              </w:rPr>
              <w:t>140</w:t>
            </w:r>
          </w:p>
        </w:tc>
      </w:tr>
      <w:tr w:rsidR="00300950" w14:paraId="0FC2F69D" w14:textId="77777777" w:rsidTr="00300950">
        <w:trPr>
          <w:trHeight w:val="46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471F1A" w14:textId="77777777" w:rsidR="00300950" w:rsidRDefault="00300950" w:rsidP="00300950">
            <w:pPr>
              <w:rPr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nb-NO"/>
              </w:rPr>
              <w:t>Årsresultat uten nettobidrag og prosjektavslutning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811BB0" w14:textId="77777777" w:rsidR="00300950" w:rsidRDefault="00300950" w:rsidP="00300950">
            <w:pPr>
              <w:jc w:val="right"/>
              <w:rPr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nb-NO"/>
              </w:rPr>
              <w:t>7 544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0FF080" w14:textId="77777777" w:rsidR="00300950" w:rsidRDefault="00300950" w:rsidP="00300950">
            <w:pPr>
              <w:jc w:val="right"/>
              <w:rPr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nb-NO"/>
              </w:rPr>
              <w:t>10 124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8A35DE" w14:textId="77777777" w:rsidR="00300950" w:rsidRDefault="00300950" w:rsidP="00300950">
            <w:pPr>
              <w:jc w:val="right"/>
              <w:rPr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nb-NO"/>
              </w:rPr>
              <w:t>9 175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41578B" w14:textId="77777777" w:rsidR="00300950" w:rsidRDefault="00300950" w:rsidP="00300950">
            <w:pPr>
              <w:jc w:val="right"/>
              <w:rPr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nb-NO"/>
              </w:rPr>
              <w:t>7 617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C85DCA" w14:textId="77777777" w:rsidR="00300950" w:rsidRDefault="00300950" w:rsidP="00300950">
            <w:pPr>
              <w:jc w:val="right"/>
              <w:rPr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nb-NO"/>
              </w:rPr>
              <w:t>7 394</w:t>
            </w:r>
          </w:p>
        </w:tc>
      </w:tr>
      <w:tr w:rsidR="00300950" w14:paraId="421EEC35" w14:textId="77777777" w:rsidTr="00300950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7B8B8C" w14:textId="77777777" w:rsidR="00300950" w:rsidRDefault="00300950" w:rsidP="00300950">
            <w:pPr>
              <w:rPr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nb-NO"/>
              </w:rPr>
              <w:t>Nettobidrag fra prosjekter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A561A3" w14:textId="77777777" w:rsidR="00300950" w:rsidRDefault="00300950" w:rsidP="00300950">
            <w:pPr>
              <w:jc w:val="right"/>
              <w:rPr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nb-NO"/>
              </w:rPr>
              <w:t>-8 499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9F73A4" w14:textId="77777777" w:rsidR="00300950" w:rsidRDefault="00300950" w:rsidP="00300950">
            <w:pPr>
              <w:jc w:val="right"/>
              <w:rPr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nb-NO"/>
              </w:rPr>
              <w:t>-9 536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245B14" w14:textId="77777777" w:rsidR="00300950" w:rsidRDefault="00300950" w:rsidP="00300950">
            <w:pPr>
              <w:jc w:val="right"/>
              <w:rPr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nb-NO"/>
              </w:rPr>
              <w:t>-6 074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C6FBE3" w14:textId="77777777" w:rsidR="00300950" w:rsidRDefault="00300950" w:rsidP="00300950">
            <w:pPr>
              <w:jc w:val="right"/>
              <w:rPr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nb-NO"/>
              </w:rPr>
              <w:t>-5 000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BA0356" w14:textId="77777777" w:rsidR="00300950" w:rsidRDefault="00300950" w:rsidP="00300950">
            <w:pPr>
              <w:jc w:val="right"/>
              <w:rPr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nb-NO"/>
              </w:rPr>
              <w:t>-5 000</w:t>
            </w:r>
          </w:p>
        </w:tc>
      </w:tr>
      <w:tr w:rsidR="00300950" w14:paraId="16364F86" w14:textId="77777777" w:rsidTr="00300950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5891BC" w14:textId="77777777" w:rsidR="00300950" w:rsidRDefault="00300950" w:rsidP="00300950">
            <w:pPr>
              <w:rPr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nb-NO"/>
              </w:rPr>
              <w:t>Prosjektavslutning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DBA306" w14:textId="77777777" w:rsidR="00300950" w:rsidRDefault="00300950" w:rsidP="00300950">
            <w:pPr>
              <w:jc w:val="right"/>
              <w:rPr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nb-NO"/>
              </w:rPr>
              <w:t>43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0A1332" w14:textId="77777777" w:rsidR="00300950" w:rsidRDefault="00300950" w:rsidP="00300950">
            <w:pPr>
              <w:jc w:val="right"/>
              <w:rPr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8F1BDC" w14:textId="77777777" w:rsidR="00300950" w:rsidRDefault="00300950" w:rsidP="00300950">
            <w:pPr>
              <w:jc w:val="right"/>
              <w:rPr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2CB7B0" w14:textId="77777777" w:rsidR="00300950" w:rsidRDefault="00300950" w:rsidP="00300950">
            <w:pPr>
              <w:jc w:val="right"/>
              <w:rPr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8FC2F0" w14:textId="77777777" w:rsidR="00300950" w:rsidRDefault="00300950" w:rsidP="00300950">
            <w:pPr>
              <w:jc w:val="right"/>
              <w:rPr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300950" w14:paraId="27B8055E" w14:textId="77777777" w:rsidTr="00300950">
        <w:trPr>
          <w:trHeight w:val="31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959575" w14:textId="77777777" w:rsidR="00300950" w:rsidRDefault="00300950" w:rsidP="00300950">
            <w:pPr>
              <w:rPr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nb-NO"/>
              </w:rPr>
              <w:t xml:space="preserve">Årsresultat 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9371CF" w14:textId="77777777" w:rsidR="00300950" w:rsidRDefault="00300950" w:rsidP="00300950">
            <w:pPr>
              <w:jc w:val="right"/>
              <w:rPr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nb-NO"/>
              </w:rPr>
              <w:t>-911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81F6E8" w14:textId="77777777" w:rsidR="00300950" w:rsidRDefault="00300950" w:rsidP="00300950">
            <w:pPr>
              <w:jc w:val="right"/>
              <w:rPr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nb-NO"/>
              </w:rPr>
              <w:t>589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E9DA8E" w14:textId="77777777" w:rsidR="00300950" w:rsidRDefault="00300950" w:rsidP="00300950">
            <w:pPr>
              <w:jc w:val="right"/>
              <w:rPr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nb-NO"/>
              </w:rPr>
              <w:t>3 101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723CE0" w14:textId="77777777" w:rsidR="00300950" w:rsidRDefault="00300950" w:rsidP="00300950">
            <w:pPr>
              <w:jc w:val="right"/>
              <w:rPr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nb-NO"/>
              </w:rPr>
              <w:t>2 617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961532" w14:textId="77777777" w:rsidR="00300950" w:rsidRDefault="00300950" w:rsidP="00300950">
            <w:pPr>
              <w:jc w:val="right"/>
              <w:rPr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nb-NO"/>
              </w:rPr>
              <w:t>2 394</w:t>
            </w:r>
          </w:p>
        </w:tc>
      </w:tr>
      <w:tr w:rsidR="00300950" w14:paraId="6C795DCC" w14:textId="77777777" w:rsidTr="00300950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6A6A6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B2B7B2" w14:textId="77777777" w:rsidR="00300950" w:rsidRDefault="00300950" w:rsidP="00300950">
            <w:pPr>
              <w:rPr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nb-NO"/>
              </w:rPr>
              <w:t>Overført fra i fjor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6A6A6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3E0B9F" w14:textId="77777777" w:rsidR="00300950" w:rsidRDefault="00300950" w:rsidP="00300950">
            <w:pPr>
              <w:jc w:val="right"/>
              <w:rPr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nb-NO"/>
              </w:rPr>
              <w:t>-9 389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6A6A6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509214" w14:textId="77777777" w:rsidR="00300950" w:rsidRDefault="00300950" w:rsidP="00300950">
            <w:pPr>
              <w:jc w:val="right"/>
              <w:rPr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nb-NO"/>
              </w:rPr>
              <w:t>-10 300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6A6A6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00CF67" w14:textId="77777777" w:rsidR="00300950" w:rsidRDefault="00300950" w:rsidP="00300950">
            <w:pPr>
              <w:jc w:val="right"/>
              <w:rPr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nb-NO"/>
              </w:rPr>
              <w:t>-9 711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6A6A6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21567E" w14:textId="77777777" w:rsidR="00300950" w:rsidRDefault="00300950" w:rsidP="00300950">
            <w:pPr>
              <w:jc w:val="right"/>
              <w:rPr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nb-NO"/>
              </w:rPr>
              <w:t>-6 610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6A6A6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0002D5" w14:textId="77777777" w:rsidR="00300950" w:rsidRDefault="00300950" w:rsidP="00300950">
            <w:pPr>
              <w:jc w:val="right"/>
              <w:rPr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nb-NO"/>
              </w:rPr>
              <w:t>-3 993</w:t>
            </w:r>
          </w:p>
        </w:tc>
      </w:tr>
      <w:tr w:rsidR="00300950" w14:paraId="0CDAA14D" w14:textId="77777777" w:rsidTr="00300950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8DB4E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1052B3" w14:textId="77777777" w:rsidR="00300950" w:rsidRDefault="00300950" w:rsidP="00300950">
            <w:pPr>
              <w:rPr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nb-NO"/>
              </w:rPr>
              <w:t>Akkumulert resultat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8DB4E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414C9C" w14:textId="77777777" w:rsidR="00300950" w:rsidRDefault="00300950" w:rsidP="00300950">
            <w:pPr>
              <w:jc w:val="right"/>
              <w:rPr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nb-NO"/>
              </w:rPr>
              <w:t>-10 300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8DB4E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24BD43" w14:textId="77777777" w:rsidR="00300950" w:rsidRDefault="00300950" w:rsidP="00300950">
            <w:pPr>
              <w:jc w:val="right"/>
              <w:rPr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nb-NO"/>
              </w:rPr>
              <w:t>-9 711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8DB4E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7D7CD8" w14:textId="77777777" w:rsidR="00300950" w:rsidRDefault="00300950" w:rsidP="00300950">
            <w:pPr>
              <w:jc w:val="right"/>
              <w:rPr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nb-NO"/>
              </w:rPr>
              <w:t>-6 610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8DB4E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2B4B94" w14:textId="77777777" w:rsidR="00300950" w:rsidRDefault="00300950" w:rsidP="00300950">
            <w:pPr>
              <w:jc w:val="right"/>
              <w:rPr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nb-NO"/>
              </w:rPr>
              <w:t>-3 993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FF2FD4" w14:textId="77777777" w:rsidR="00300950" w:rsidRDefault="00300950" w:rsidP="00300950">
            <w:pPr>
              <w:jc w:val="right"/>
              <w:rPr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nb-NO"/>
              </w:rPr>
              <w:t>-1 599</w:t>
            </w:r>
          </w:p>
        </w:tc>
      </w:tr>
    </w:tbl>
    <w:p w14:paraId="3A6AACD0" w14:textId="77777777" w:rsidR="00157388" w:rsidRDefault="00157388" w:rsidP="00083C5E"/>
    <w:p w14:paraId="297476FD" w14:textId="6DF763D4" w:rsidR="00F62477" w:rsidRPr="00D01ECD" w:rsidRDefault="00C32262" w:rsidP="00083C5E">
      <w:r>
        <w:t>Lang</w:t>
      </w:r>
      <w:r w:rsidR="009364D7">
        <w:t>tidsprognosen viser forventet basisbevilgning til TIK for perioden 2019 – 2022 etter ny finansieringsmodell.</w:t>
      </w:r>
      <w:r w:rsidR="00300950">
        <w:t xml:space="preserve"> </w:t>
      </w:r>
      <w:r w:rsidR="009364D7">
        <w:t>Personalkostnader omfatter stillinger finansiert fra basis basert på nåværende rammer og vedtak. Driftskostnader er holdt på samme nivå gjennom hele perioden.</w:t>
      </w:r>
      <w:r w:rsidR="00D01ECD">
        <w:t xml:space="preserve"> </w:t>
      </w:r>
      <w:r w:rsidR="00D01ECD">
        <w:rPr>
          <w:i/>
        </w:rPr>
        <w:t xml:space="preserve">Årsresultat uten nettobidrag og prosjektavslutning </w:t>
      </w:r>
      <w:r w:rsidR="00D01ECD">
        <w:t>viser hvor stort nettobidraget fra eksterne prosjekter må være for at regnskapet skal balansere.</w:t>
      </w:r>
    </w:p>
    <w:p w14:paraId="32C488F2" w14:textId="77777777" w:rsidR="00D01ECD" w:rsidRDefault="00D01ECD" w:rsidP="00083C5E"/>
    <w:p w14:paraId="32FD3603" w14:textId="678E102F" w:rsidR="00877F32" w:rsidRDefault="00D01ECD" w:rsidP="00083C5E">
      <w:r>
        <w:t>For dette nettobidraget</w:t>
      </w:r>
      <w:r w:rsidR="009364D7">
        <w:t xml:space="preserve"> har vi </w:t>
      </w:r>
      <w:r>
        <w:t xml:space="preserve">i prognosen </w:t>
      </w:r>
      <w:r w:rsidR="009364D7">
        <w:t>lagt inn tall for 2018, 2019 og 2020 ut fra kjente prosjekttildelinger. Det er flere søknader under utarbeidelse og behandling som vil kunne påvirke størrelsen på nettobidraget i positiv retning.</w:t>
      </w:r>
      <w:r w:rsidR="00940E6B">
        <w:t xml:space="preserve"> i </w:t>
      </w:r>
      <w:r>
        <w:t>Nettobidragene for</w:t>
      </w:r>
      <w:r w:rsidR="00877F32">
        <w:t xml:space="preserve"> </w:t>
      </w:r>
      <w:r w:rsidR="00940E6B">
        <w:t>2020, 2021 og 2022</w:t>
      </w:r>
      <w:r>
        <w:t xml:space="preserve"> er forsiktige anslag</w:t>
      </w:r>
      <w:r w:rsidR="00940E6B">
        <w:t>, noe som fører til årlige underskudd på mellom 2,4 og 3,1 mill kroner. Med disse tallene vil TIKs økonomiske buffer forsvinne i løpet av 2023.</w:t>
      </w:r>
    </w:p>
    <w:p w14:paraId="74059010" w14:textId="500FC0E7" w:rsidR="009364D7" w:rsidRDefault="009364D7" w:rsidP="00083C5E"/>
    <w:p w14:paraId="1474B2F2" w14:textId="370DEC0E" w:rsidR="00777E86" w:rsidRDefault="009364D7" w:rsidP="00083C5E">
      <w:r>
        <w:t xml:space="preserve">Ny fordelingsmodell </w:t>
      </w:r>
      <w:r w:rsidR="001F7B03">
        <w:t>fører</w:t>
      </w:r>
      <w:r>
        <w:t xml:space="preserve"> til en </w:t>
      </w:r>
      <w:r w:rsidR="001F7B03">
        <w:t xml:space="preserve">betydelig </w:t>
      </w:r>
      <w:r>
        <w:t xml:space="preserve">reduksjon i basisbevilgningen til TIK framover. </w:t>
      </w:r>
      <w:r w:rsidR="00300950">
        <w:t xml:space="preserve">Prognosen for 2022 tilsvarer 80 % av tildelingen i 2018. </w:t>
      </w:r>
    </w:p>
    <w:p w14:paraId="2C259C32" w14:textId="77777777" w:rsidR="00877F32" w:rsidRDefault="00877F32" w:rsidP="00083C5E"/>
    <w:p w14:paraId="5C01AE93" w14:textId="39E5EC1A" w:rsidR="0000156D" w:rsidRDefault="009364D7" w:rsidP="00083C5E">
      <w:r>
        <w:t>Vi har tidligere orientert styret om hva denne basisbevilgningen skal finansiere. TI</w:t>
      </w:r>
      <w:r w:rsidR="0000156D">
        <w:t xml:space="preserve">Ks forståelse er at basis i 2022 </w:t>
      </w:r>
      <w:r>
        <w:t>skal finansiere f</w:t>
      </w:r>
      <w:r w:rsidR="00777E86">
        <w:t xml:space="preserve">ølgende stillinger: </w:t>
      </w:r>
      <w:r w:rsidR="004F70ED">
        <w:t>Fire</w:t>
      </w:r>
      <w:r>
        <w:t xml:space="preserve"> doktorgradsstipendiater</w:t>
      </w:r>
      <w:r w:rsidR="004F70ED">
        <w:t>, en</w:t>
      </w:r>
      <w:r>
        <w:t xml:space="preserve"> postdoktor</w:t>
      </w:r>
      <w:r w:rsidR="004F70ED">
        <w:t>, seks vitenskapelige seniorer, en senterleder og en administrativ stab som i dag består av 3,25 årsverk.</w:t>
      </w:r>
      <w:r w:rsidR="00777E86">
        <w:t xml:space="preserve"> I tillegg er en eksternfinansiert forsker inkludert i de budsjetterte personalkostnadene av tekniske årsaker.</w:t>
      </w:r>
    </w:p>
    <w:p w14:paraId="449F754A" w14:textId="77777777" w:rsidR="00877F32" w:rsidRDefault="00877F32" w:rsidP="00083C5E"/>
    <w:p w14:paraId="622EA63D" w14:textId="324D0FBA" w:rsidR="00F62477" w:rsidRDefault="00777E86" w:rsidP="00083C5E">
      <w:r>
        <w:t xml:space="preserve">Vi ser at det </w:t>
      </w:r>
      <w:r w:rsidR="001F7B03">
        <w:t xml:space="preserve">i 2022 </w:t>
      </w:r>
      <w:r>
        <w:t>er en underdekking på 7 394 som må dekkes fra eksternfinansierte prosjekter, enten i form av eksternt frikjøp eller ved ekstern overhead. Trekker vi ut den eksternfinansierte forskeren reduseres denne underdekkingen til 6 </w:t>
      </w:r>
      <w:r w:rsidR="001F7B03">
        <w:t>4</w:t>
      </w:r>
      <w:r>
        <w:t xml:space="preserve">00. </w:t>
      </w:r>
      <w:r w:rsidR="006B7A49">
        <w:t xml:space="preserve"> I praksis betyr dette at TIK </w:t>
      </w:r>
      <w:r w:rsidR="00877F32">
        <w:t xml:space="preserve">må </w:t>
      </w:r>
      <w:r w:rsidR="006B7A49">
        <w:t>redusere kostnade</w:t>
      </w:r>
      <w:r w:rsidR="00877F32">
        <w:t>r</w:t>
      </w:r>
      <w:r w:rsidR="006B7A49">
        <w:t xml:space="preserve"> og/eller </w:t>
      </w:r>
      <w:r w:rsidR="00877F32">
        <w:t>sikre et større nettobidrag</w:t>
      </w:r>
      <w:r w:rsidR="006B7A49">
        <w:t xml:space="preserve"> fra eksterne prosjekter</w:t>
      </w:r>
      <w:r w:rsidR="00877F32">
        <w:t xml:space="preserve"> for å gå i balanse</w:t>
      </w:r>
      <w:r w:rsidR="006B7A49">
        <w:t xml:space="preserve">. </w:t>
      </w:r>
      <w:r w:rsidR="000F1397">
        <w:t>Hvordan senteret skal klare dette</w:t>
      </w:r>
      <w:r w:rsidR="00877F32">
        <w:t>,</w:t>
      </w:r>
      <w:r w:rsidR="000F1397">
        <w:t xml:space="preserve"> er et strategisk spørsmål som TIK-styret og senterledelsen må diskutere.</w:t>
      </w:r>
    </w:p>
    <w:sectPr w:rsidR="00F62477" w:rsidSect="00E607A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ADF8D" w14:textId="77777777" w:rsidR="0001598D" w:rsidRDefault="0001598D" w:rsidP="00043676">
      <w:pPr>
        <w:spacing w:line="240" w:lineRule="auto"/>
      </w:pPr>
      <w:r>
        <w:separator/>
      </w:r>
    </w:p>
  </w:endnote>
  <w:endnote w:type="continuationSeparator" w:id="0">
    <w:p w14:paraId="71FFE32D" w14:textId="77777777" w:rsidR="0001598D" w:rsidRDefault="0001598D" w:rsidP="000436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612706"/>
      <w:docPartObj>
        <w:docPartGallery w:val="Page Numbers (Bottom of Page)"/>
        <w:docPartUnique/>
      </w:docPartObj>
    </w:sdtPr>
    <w:sdtContent>
      <w:p w14:paraId="4D970C4D" w14:textId="6DE963FF" w:rsidR="00877F32" w:rsidRDefault="00877F3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4CE">
          <w:rPr>
            <w:noProof/>
          </w:rPr>
          <w:t>5</w:t>
        </w:r>
        <w:r>
          <w:fldChar w:fldCharType="end"/>
        </w:r>
      </w:p>
    </w:sdtContent>
  </w:sdt>
  <w:p w14:paraId="7AD6034F" w14:textId="77777777" w:rsidR="00877F32" w:rsidRDefault="00877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52822" w14:textId="77777777" w:rsidR="0001598D" w:rsidRDefault="0001598D" w:rsidP="00043676">
      <w:pPr>
        <w:spacing w:line="240" w:lineRule="auto"/>
      </w:pPr>
      <w:r>
        <w:separator/>
      </w:r>
    </w:p>
  </w:footnote>
  <w:footnote w:type="continuationSeparator" w:id="0">
    <w:p w14:paraId="632AD5A7" w14:textId="77777777" w:rsidR="0001598D" w:rsidRDefault="0001598D" w:rsidP="000436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2B22"/>
    <w:multiLevelType w:val="hybridMultilevel"/>
    <w:tmpl w:val="F4340EBA"/>
    <w:lvl w:ilvl="0" w:tplc="DA7ED4F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D5171"/>
    <w:multiLevelType w:val="hybridMultilevel"/>
    <w:tmpl w:val="411086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473E2"/>
    <w:multiLevelType w:val="hybridMultilevel"/>
    <w:tmpl w:val="D49A9C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45CB0"/>
    <w:multiLevelType w:val="hybridMultilevel"/>
    <w:tmpl w:val="034CC640"/>
    <w:lvl w:ilvl="0" w:tplc="8D4E69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96BC4"/>
    <w:multiLevelType w:val="hybridMultilevel"/>
    <w:tmpl w:val="0FC42C38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C6255A"/>
    <w:multiLevelType w:val="hybridMultilevel"/>
    <w:tmpl w:val="1F426D8A"/>
    <w:lvl w:ilvl="0" w:tplc="4C8042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21714"/>
    <w:multiLevelType w:val="hybridMultilevel"/>
    <w:tmpl w:val="C1462F08"/>
    <w:lvl w:ilvl="0" w:tplc="6C8CCD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86642"/>
    <w:multiLevelType w:val="hybridMultilevel"/>
    <w:tmpl w:val="FB0CBF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21BA9"/>
    <w:multiLevelType w:val="hybridMultilevel"/>
    <w:tmpl w:val="D49AAF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82C77"/>
    <w:multiLevelType w:val="hybridMultilevel"/>
    <w:tmpl w:val="BEEE32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84"/>
    <w:rsid w:val="0000156D"/>
    <w:rsid w:val="00001FBD"/>
    <w:rsid w:val="000079C3"/>
    <w:rsid w:val="0001598D"/>
    <w:rsid w:val="000179A3"/>
    <w:rsid w:val="00022840"/>
    <w:rsid w:val="00027C6F"/>
    <w:rsid w:val="00030FC6"/>
    <w:rsid w:val="00031F9D"/>
    <w:rsid w:val="00040B07"/>
    <w:rsid w:val="00040B9C"/>
    <w:rsid w:val="00043676"/>
    <w:rsid w:val="00051CC8"/>
    <w:rsid w:val="000525FC"/>
    <w:rsid w:val="00054F31"/>
    <w:rsid w:val="000641ED"/>
    <w:rsid w:val="00065E76"/>
    <w:rsid w:val="00074CFE"/>
    <w:rsid w:val="0008040D"/>
    <w:rsid w:val="00083C5E"/>
    <w:rsid w:val="00084493"/>
    <w:rsid w:val="00090807"/>
    <w:rsid w:val="00096884"/>
    <w:rsid w:val="000A5403"/>
    <w:rsid w:val="000A7878"/>
    <w:rsid w:val="000B4AB5"/>
    <w:rsid w:val="000B4D01"/>
    <w:rsid w:val="000B5BB3"/>
    <w:rsid w:val="000C232D"/>
    <w:rsid w:val="000C35E3"/>
    <w:rsid w:val="000D6FBE"/>
    <w:rsid w:val="000E3567"/>
    <w:rsid w:val="000E7C9F"/>
    <w:rsid w:val="000F1397"/>
    <w:rsid w:val="000F533F"/>
    <w:rsid w:val="00110982"/>
    <w:rsid w:val="00112492"/>
    <w:rsid w:val="00113E3B"/>
    <w:rsid w:val="00120F39"/>
    <w:rsid w:val="00120FAC"/>
    <w:rsid w:val="00124486"/>
    <w:rsid w:val="00131E8D"/>
    <w:rsid w:val="001349C2"/>
    <w:rsid w:val="00136034"/>
    <w:rsid w:val="00140C8F"/>
    <w:rsid w:val="001512A0"/>
    <w:rsid w:val="001512EF"/>
    <w:rsid w:val="00155C9D"/>
    <w:rsid w:val="00156278"/>
    <w:rsid w:val="0015733D"/>
    <w:rsid w:val="00157388"/>
    <w:rsid w:val="00163955"/>
    <w:rsid w:val="00165726"/>
    <w:rsid w:val="00171285"/>
    <w:rsid w:val="001749AF"/>
    <w:rsid w:val="0019115B"/>
    <w:rsid w:val="00191559"/>
    <w:rsid w:val="00193A80"/>
    <w:rsid w:val="00196581"/>
    <w:rsid w:val="001A7D60"/>
    <w:rsid w:val="001B4A14"/>
    <w:rsid w:val="001C69A5"/>
    <w:rsid w:val="001E6A6E"/>
    <w:rsid w:val="001F4DE1"/>
    <w:rsid w:val="001F7B03"/>
    <w:rsid w:val="00203657"/>
    <w:rsid w:val="00204026"/>
    <w:rsid w:val="00204EBD"/>
    <w:rsid w:val="002144A7"/>
    <w:rsid w:val="002178C1"/>
    <w:rsid w:val="00224024"/>
    <w:rsid w:val="00234B2A"/>
    <w:rsid w:val="0023682C"/>
    <w:rsid w:val="002402D7"/>
    <w:rsid w:val="00242002"/>
    <w:rsid w:val="00243AE5"/>
    <w:rsid w:val="00261430"/>
    <w:rsid w:val="00261A36"/>
    <w:rsid w:val="00264FDA"/>
    <w:rsid w:val="002772C4"/>
    <w:rsid w:val="002A7AC7"/>
    <w:rsid w:val="002B186E"/>
    <w:rsid w:val="002C196A"/>
    <w:rsid w:val="002C6908"/>
    <w:rsid w:val="002C7712"/>
    <w:rsid w:val="002D0034"/>
    <w:rsid w:val="002D0CE7"/>
    <w:rsid w:val="002D1C06"/>
    <w:rsid w:val="002D7F26"/>
    <w:rsid w:val="002E12C4"/>
    <w:rsid w:val="002E598F"/>
    <w:rsid w:val="002F13B0"/>
    <w:rsid w:val="002F1C9E"/>
    <w:rsid w:val="00300950"/>
    <w:rsid w:val="003031AD"/>
    <w:rsid w:val="00304384"/>
    <w:rsid w:val="00311117"/>
    <w:rsid w:val="00314494"/>
    <w:rsid w:val="00324A89"/>
    <w:rsid w:val="00324F1B"/>
    <w:rsid w:val="00333FF5"/>
    <w:rsid w:val="00350D07"/>
    <w:rsid w:val="00357047"/>
    <w:rsid w:val="00357F1B"/>
    <w:rsid w:val="00365D73"/>
    <w:rsid w:val="0037119B"/>
    <w:rsid w:val="0038092A"/>
    <w:rsid w:val="00380E29"/>
    <w:rsid w:val="00382037"/>
    <w:rsid w:val="00390506"/>
    <w:rsid w:val="00391816"/>
    <w:rsid w:val="003958A8"/>
    <w:rsid w:val="00395C43"/>
    <w:rsid w:val="003A0A4D"/>
    <w:rsid w:val="003A38AF"/>
    <w:rsid w:val="003A4DCB"/>
    <w:rsid w:val="003B2FCC"/>
    <w:rsid w:val="003B4AEF"/>
    <w:rsid w:val="003B503F"/>
    <w:rsid w:val="003B5DDA"/>
    <w:rsid w:val="003B72E8"/>
    <w:rsid w:val="003B789D"/>
    <w:rsid w:val="003C432C"/>
    <w:rsid w:val="003C526C"/>
    <w:rsid w:val="003C5EEE"/>
    <w:rsid w:val="003C6256"/>
    <w:rsid w:val="003D0571"/>
    <w:rsid w:val="003D09B5"/>
    <w:rsid w:val="003D17EE"/>
    <w:rsid w:val="003E49EA"/>
    <w:rsid w:val="003E7E74"/>
    <w:rsid w:val="003F75AB"/>
    <w:rsid w:val="00400E70"/>
    <w:rsid w:val="00407BD8"/>
    <w:rsid w:val="00412E67"/>
    <w:rsid w:val="00417129"/>
    <w:rsid w:val="00435312"/>
    <w:rsid w:val="0043580A"/>
    <w:rsid w:val="00442176"/>
    <w:rsid w:val="00462D2A"/>
    <w:rsid w:val="00467CDA"/>
    <w:rsid w:val="00472C9A"/>
    <w:rsid w:val="00477584"/>
    <w:rsid w:val="004808FF"/>
    <w:rsid w:val="004827AF"/>
    <w:rsid w:val="004A1357"/>
    <w:rsid w:val="004A3022"/>
    <w:rsid w:val="004B1C24"/>
    <w:rsid w:val="004B5124"/>
    <w:rsid w:val="004D2321"/>
    <w:rsid w:val="004D74AC"/>
    <w:rsid w:val="004E37E4"/>
    <w:rsid w:val="004F5B33"/>
    <w:rsid w:val="004F70ED"/>
    <w:rsid w:val="005125FE"/>
    <w:rsid w:val="0052227C"/>
    <w:rsid w:val="00524D57"/>
    <w:rsid w:val="00530E44"/>
    <w:rsid w:val="00552B15"/>
    <w:rsid w:val="005604CE"/>
    <w:rsid w:val="0056127B"/>
    <w:rsid w:val="005648E6"/>
    <w:rsid w:val="005843AA"/>
    <w:rsid w:val="005863D7"/>
    <w:rsid w:val="0059173F"/>
    <w:rsid w:val="005A6F32"/>
    <w:rsid w:val="005B33C4"/>
    <w:rsid w:val="005B509E"/>
    <w:rsid w:val="005C4263"/>
    <w:rsid w:val="005C430A"/>
    <w:rsid w:val="005C7268"/>
    <w:rsid w:val="005D5E09"/>
    <w:rsid w:val="005D6E10"/>
    <w:rsid w:val="005E3659"/>
    <w:rsid w:val="005E7B30"/>
    <w:rsid w:val="006040CA"/>
    <w:rsid w:val="006047BC"/>
    <w:rsid w:val="00605219"/>
    <w:rsid w:val="00605EB1"/>
    <w:rsid w:val="00620BAD"/>
    <w:rsid w:val="00636A35"/>
    <w:rsid w:val="0064344A"/>
    <w:rsid w:val="00645DFB"/>
    <w:rsid w:val="00650C29"/>
    <w:rsid w:val="00660738"/>
    <w:rsid w:val="00670C7E"/>
    <w:rsid w:val="00674FC9"/>
    <w:rsid w:val="00677846"/>
    <w:rsid w:val="0068290F"/>
    <w:rsid w:val="0068621C"/>
    <w:rsid w:val="00690805"/>
    <w:rsid w:val="00690ACC"/>
    <w:rsid w:val="006927C2"/>
    <w:rsid w:val="00695AD3"/>
    <w:rsid w:val="006967C8"/>
    <w:rsid w:val="006A27ED"/>
    <w:rsid w:val="006B7A49"/>
    <w:rsid w:val="006D1537"/>
    <w:rsid w:val="006E5DF9"/>
    <w:rsid w:val="006E6259"/>
    <w:rsid w:val="006F08C5"/>
    <w:rsid w:val="006F113D"/>
    <w:rsid w:val="00700EFF"/>
    <w:rsid w:val="00703F39"/>
    <w:rsid w:val="007116E5"/>
    <w:rsid w:val="007245A5"/>
    <w:rsid w:val="00732428"/>
    <w:rsid w:val="00735CE4"/>
    <w:rsid w:val="007414F7"/>
    <w:rsid w:val="007427CC"/>
    <w:rsid w:val="00743530"/>
    <w:rsid w:val="00746A1B"/>
    <w:rsid w:val="00750ABC"/>
    <w:rsid w:val="00750F3A"/>
    <w:rsid w:val="00752C14"/>
    <w:rsid w:val="007615A9"/>
    <w:rsid w:val="00762ADC"/>
    <w:rsid w:val="007650BC"/>
    <w:rsid w:val="00770FFE"/>
    <w:rsid w:val="00777E86"/>
    <w:rsid w:val="0078558C"/>
    <w:rsid w:val="00793A55"/>
    <w:rsid w:val="00793BC7"/>
    <w:rsid w:val="007948A1"/>
    <w:rsid w:val="007A25A6"/>
    <w:rsid w:val="007A7A50"/>
    <w:rsid w:val="007B02EC"/>
    <w:rsid w:val="007C01BE"/>
    <w:rsid w:val="007C0621"/>
    <w:rsid w:val="007C0FBE"/>
    <w:rsid w:val="007C2965"/>
    <w:rsid w:val="007C536D"/>
    <w:rsid w:val="007E0D59"/>
    <w:rsid w:val="007F207B"/>
    <w:rsid w:val="00821713"/>
    <w:rsid w:val="0083593B"/>
    <w:rsid w:val="008372A6"/>
    <w:rsid w:val="00843E8F"/>
    <w:rsid w:val="00845FBC"/>
    <w:rsid w:val="00846FF7"/>
    <w:rsid w:val="00847FF3"/>
    <w:rsid w:val="00853FBD"/>
    <w:rsid w:val="00860A6E"/>
    <w:rsid w:val="00861213"/>
    <w:rsid w:val="00861D51"/>
    <w:rsid w:val="008626C0"/>
    <w:rsid w:val="00877F32"/>
    <w:rsid w:val="0088074E"/>
    <w:rsid w:val="008859C6"/>
    <w:rsid w:val="00886BE1"/>
    <w:rsid w:val="00887DD7"/>
    <w:rsid w:val="008967EC"/>
    <w:rsid w:val="00896B89"/>
    <w:rsid w:val="008A03C4"/>
    <w:rsid w:val="008A2206"/>
    <w:rsid w:val="008A22AB"/>
    <w:rsid w:val="008B7D23"/>
    <w:rsid w:val="008C0907"/>
    <w:rsid w:val="008C65E7"/>
    <w:rsid w:val="008F0138"/>
    <w:rsid w:val="008F7347"/>
    <w:rsid w:val="008F76A0"/>
    <w:rsid w:val="00902291"/>
    <w:rsid w:val="00902B7A"/>
    <w:rsid w:val="00913CDA"/>
    <w:rsid w:val="00924591"/>
    <w:rsid w:val="00924BB6"/>
    <w:rsid w:val="00927B2A"/>
    <w:rsid w:val="0093526F"/>
    <w:rsid w:val="009364D7"/>
    <w:rsid w:val="00940E6B"/>
    <w:rsid w:val="00956EA4"/>
    <w:rsid w:val="0096305A"/>
    <w:rsid w:val="00965D9B"/>
    <w:rsid w:val="009679A3"/>
    <w:rsid w:val="00975D6E"/>
    <w:rsid w:val="00980CCB"/>
    <w:rsid w:val="00993F1A"/>
    <w:rsid w:val="00996BDA"/>
    <w:rsid w:val="0099726E"/>
    <w:rsid w:val="009A7982"/>
    <w:rsid w:val="009B0959"/>
    <w:rsid w:val="009B19C8"/>
    <w:rsid w:val="009C3975"/>
    <w:rsid w:val="009C4B36"/>
    <w:rsid w:val="009D2074"/>
    <w:rsid w:val="009D2DD2"/>
    <w:rsid w:val="009D5C17"/>
    <w:rsid w:val="009E4366"/>
    <w:rsid w:val="009E7F7C"/>
    <w:rsid w:val="009F02B0"/>
    <w:rsid w:val="009F0C39"/>
    <w:rsid w:val="00A17148"/>
    <w:rsid w:val="00A3398B"/>
    <w:rsid w:val="00A40197"/>
    <w:rsid w:val="00A5000C"/>
    <w:rsid w:val="00A50E36"/>
    <w:rsid w:val="00A72F07"/>
    <w:rsid w:val="00A8093D"/>
    <w:rsid w:val="00A80D8C"/>
    <w:rsid w:val="00A829BC"/>
    <w:rsid w:val="00A83DF5"/>
    <w:rsid w:val="00A90F67"/>
    <w:rsid w:val="00A937B9"/>
    <w:rsid w:val="00AA2092"/>
    <w:rsid w:val="00AA3115"/>
    <w:rsid w:val="00AA5885"/>
    <w:rsid w:val="00AA77A4"/>
    <w:rsid w:val="00AA790D"/>
    <w:rsid w:val="00AB29CC"/>
    <w:rsid w:val="00AB2EA4"/>
    <w:rsid w:val="00AC35CF"/>
    <w:rsid w:val="00AD3059"/>
    <w:rsid w:val="00AE7D67"/>
    <w:rsid w:val="00AF599C"/>
    <w:rsid w:val="00AF5F0C"/>
    <w:rsid w:val="00B11C75"/>
    <w:rsid w:val="00B14DD7"/>
    <w:rsid w:val="00B1611E"/>
    <w:rsid w:val="00B2104F"/>
    <w:rsid w:val="00B23485"/>
    <w:rsid w:val="00B329BC"/>
    <w:rsid w:val="00B3468F"/>
    <w:rsid w:val="00B36734"/>
    <w:rsid w:val="00B37316"/>
    <w:rsid w:val="00B378F0"/>
    <w:rsid w:val="00B468CF"/>
    <w:rsid w:val="00B56E56"/>
    <w:rsid w:val="00B632F4"/>
    <w:rsid w:val="00B6513E"/>
    <w:rsid w:val="00B70820"/>
    <w:rsid w:val="00B730E0"/>
    <w:rsid w:val="00B82D8C"/>
    <w:rsid w:val="00B87A45"/>
    <w:rsid w:val="00B90994"/>
    <w:rsid w:val="00B96C4E"/>
    <w:rsid w:val="00B96CF7"/>
    <w:rsid w:val="00BA32EA"/>
    <w:rsid w:val="00BA3346"/>
    <w:rsid w:val="00BA5C8A"/>
    <w:rsid w:val="00BA697F"/>
    <w:rsid w:val="00BB07CB"/>
    <w:rsid w:val="00BC191F"/>
    <w:rsid w:val="00BC29F6"/>
    <w:rsid w:val="00BC4F42"/>
    <w:rsid w:val="00BC5CB2"/>
    <w:rsid w:val="00BD2977"/>
    <w:rsid w:val="00BD7447"/>
    <w:rsid w:val="00BE61BA"/>
    <w:rsid w:val="00C21080"/>
    <w:rsid w:val="00C21D8B"/>
    <w:rsid w:val="00C2414C"/>
    <w:rsid w:val="00C32262"/>
    <w:rsid w:val="00C378B7"/>
    <w:rsid w:val="00C43C05"/>
    <w:rsid w:val="00C44F31"/>
    <w:rsid w:val="00C51959"/>
    <w:rsid w:val="00C52140"/>
    <w:rsid w:val="00C55A7B"/>
    <w:rsid w:val="00C5769F"/>
    <w:rsid w:val="00C614DA"/>
    <w:rsid w:val="00C70771"/>
    <w:rsid w:val="00C72F0F"/>
    <w:rsid w:val="00C759BA"/>
    <w:rsid w:val="00C91831"/>
    <w:rsid w:val="00C966A2"/>
    <w:rsid w:val="00CA0221"/>
    <w:rsid w:val="00CB08D3"/>
    <w:rsid w:val="00CB14BC"/>
    <w:rsid w:val="00CB1CD7"/>
    <w:rsid w:val="00CB2EA5"/>
    <w:rsid w:val="00CD3574"/>
    <w:rsid w:val="00CD4DB8"/>
    <w:rsid w:val="00CD7AE7"/>
    <w:rsid w:val="00CE1E9E"/>
    <w:rsid w:val="00CE4028"/>
    <w:rsid w:val="00CE51A9"/>
    <w:rsid w:val="00CF249A"/>
    <w:rsid w:val="00D01ECD"/>
    <w:rsid w:val="00D10010"/>
    <w:rsid w:val="00D125D1"/>
    <w:rsid w:val="00D22F76"/>
    <w:rsid w:val="00D2772C"/>
    <w:rsid w:val="00D330AA"/>
    <w:rsid w:val="00D355E3"/>
    <w:rsid w:val="00D37FD6"/>
    <w:rsid w:val="00D60CB4"/>
    <w:rsid w:val="00D61B6A"/>
    <w:rsid w:val="00D63332"/>
    <w:rsid w:val="00D72F09"/>
    <w:rsid w:val="00D7414A"/>
    <w:rsid w:val="00D96F75"/>
    <w:rsid w:val="00DA0151"/>
    <w:rsid w:val="00DA0EF3"/>
    <w:rsid w:val="00DA121C"/>
    <w:rsid w:val="00DA4BA9"/>
    <w:rsid w:val="00DB1B14"/>
    <w:rsid w:val="00DB2F2C"/>
    <w:rsid w:val="00DB348D"/>
    <w:rsid w:val="00DB4AF5"/>
    <w:rsid w:val="00DD34E1"/>
    <w:rsid w:val="00DE1F0A"/>
    <w:rsid w:val="00DF08C8"/>
    <w:rsid w:val="00DF4137"/>
    <w:rsid w:val="00DF57DC"/>
    <w:rsid w:val="00E048EC"/>
    <w:rsid w:val="00E05242"/>
    <w:rsid w:val="00E100DB"/>
    <w:rsid w:val="00E10AC4"/>
    <w:rsid w:val="00E15666"/>
    <w:rsid w:val="00E15FA5"/>
    <w:rsid w:val="00E17860"/>
    <w:rsid w:val="00E24255"/>
    <w:rsid w:val="00E27B28"/>
    <w:rsid w:val="00E27B97"/>
    <w:rsid w:val="00E3274B"/>
    <w:rsid w:val="00E332BE"/>
    <w:rsid w:val="00E35ED0"/>
    <w:rsid w:val="00E44859"/>
    <w:rsid w:val="00E5034F"/>
    <w:rsid w:val="00E6011D"/>
    <w:rsid w:val="00E607AF"/>
    <w:rsid w:val="00E652A2"/>
    <w:rsid w:val="00E70BE0"/>
    <w:rsid w:val="00E71522"/>
    <w:rsid w:val="00E77CCE"/>
    <w:rsid w:val="00EA5928"/>
    <w:rsid w:val="00EB16B2"/>
    <w:rsid w:val="00EC2444"/>
    <w:rsid w:val="00ED0907"/>
    <w:rsid w:val="00EE1BB3"/>
    <w:rsid w:val="00EF7203"/>
    <w:rsid w:val="00F00F19"/>
    <w:rsid w:val="00F04E21"/>
    <w:rsid w:val="00F04FB3"/>
    <w:rsid w:val="00F15C46"/>
    <w:rsid w:val="00F21423"/>
    <w:rsid w:val="00F2190F"/>
    <w:rsid w:val="00F2357C"/>
    <w:rsid w:val="00F23582"/>
    <w:rsid w:val="00F2797E"/>
    <w:rsid w:val="00F30059"/>
    <w:rsid w:val="00F42E27"/>
    <w:rsid w:val="00F435F7"/>
    <w:rsid w:val="00F464F9"/>
    <w:rsid w:val="00F61CA6"/>
    <w:rsid w:val="00F62477"/>
    <w:rsid w:val="00F64E0B"/>
    <w:rsid w:val="00F722C9"/>
    <w:rsid w:val="00F81C40"/>
    <w:rsid w:val="00F81D15"/>
    <w:rsid w:val="00F84442"/>
    <w:rsid w:val="00F9280F"/>
    <w:rsid w:val="00F949DA"/>
    <w:rsid w:val="00FA1F7D"/>
    <w:rsid w:val="00FA6303"/>
    <w:rsid w:val="00FA6867"/>
    <w:rsid w:val="00FB4848"/>
    <w:rsid w:val="00FB6877"/>
    <w:rsid w:val="00FC4C9A"/>
    <w:rsid w:val="00FD7A11"/>
    <w:rsid w:val="00FE57EE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F162"/>
  <w15:docId w15:val="{1784A4E3-AC98-4107-B2C3-12E55BA8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859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9BC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tekst">
    <w:name w:val="gp-tekst"/>
    <w:basedOn w:val="Normal"/>
    <w:rsid w:val="00096884"/>
    <w:pPr>
      <w:spacing w:line="240" w:lineRule="auto"/>
    </w:pPr>
    <w:rPr>
      <w:rFonts w:ascii="Times" w:eastAsia="Times New Roman" w:hAnsi="Times"/>
      <w:sz w:val="20"/>
      <w:szCs w:val="20"/>
      <w:lang w:eastAsia="nb-NO"/>
    </w:rPr>
  </w:style>
  <w:style w:type="paragraph" w:styleId="ListParagraph">
    <w:name w:val="List Paragraph"/>
    <w:basedOn w:val="Normal"/>
    <w:uiPriority w:val="34"/>
    <w:qFormat/>
    <w:rsid w:val="001244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C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0CB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749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E5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1A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E51A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1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E51A9"/>
    <w:rPr>
      <w:b/>
      <w:bCs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752C1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367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43676"/>
    <w:rPr>
      <w:lang w:eastAsia="en-US"/>
    </w:rPr>
  </w:style>
  <w:style w:type="character" w:styleId="FootnoteReference">
    <w:name w:val="footnote reference"/>
    <w:uiPriority w:val="99"/>
    <w:semiHidden/>
    <w:unhideWhenUsed/>
    <w:rsid w:val="00043676"/>
    <w:rPr>
      <w:vertAlign w:val="superscript"/>
    </w:rPr>
  </w:style>
  <w:style w:type="character" w:styleId="Strong">
    <w:name w:val="Strong"/>
    <w:uiPriority w:val="22"/>
    <w:qFormat/>
    <w:rsid w:val="00E27B28"/>
    <w:rPr>
      <w:b/>
      <w:bCs/>
    </w:rPr>
  </w:style>
  <w:style w:type="character" w:customStyle="1" w:styleId="Heading1Char">
    <w:name w:val="Heading 1 Char"/>
    <w:link w:val="Heading1"/>
    <w:uiPriority w:val="9"/>
    <w:rsid w:val="00B329BC"/>
    <w:rPr>
      <w:rFonts w:ascii="Cambria" w:eastAsia="SimSun" w:hAnsi="Cambria" w:cs="Times New Roman"/>
      <w:b/>
      <w:bCs/>
      <w:kern w:val="32"/>
      <w:sz w:val="32"/>
      <w:szCs w:val="32"/>
      <w:lang w:val="nb-NO" w:eastAsia="en-US"/>
    </w:rPr>
  </w:style>
  <w:style w:type="paragraph" w:styleId="Header">
    <w:name w:val="header"/>
    <w:basedOn w:val="Normal"/>
    <w:link w:val="HeaderChar"/>
    <w:uiPriority w:val="99"/>
    <w:unhideWhenUsed/>
    <w:rsid w:val="00877F3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F3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7F3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F3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9B51F-7905-4AF8-BF01-8DE465CA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E72EF8EA.dotm</Template>
  <TotalTime>4</TotalTime>
  <Pages>5</Pages>
  <Words>1565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ferideeb</dc:creator>
  <cp:keywords/>
  <cp:lastModifiedBy>Frode Løvik</cp:lastModifiedBy>
  <cp:revision>3</cp:revision>
  <cp:lastPrinted>2015-05-21T07:56:00Z</cp:lastPrinted>
  <dcterms:created xsi:type="dcterms:W3CDTF">2018-10-04T11:45:00Z</dcterms:created>
  <dcterms:modified xsi:type="dcterms:W3CDTF">2018-10-04T11:50:00Z</dcterms:modified>
</cp:coreProperties>
</file>