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6F" w:rsidRPr="00096884" w:rsidRDefault="002F6F6F" w:rsidP="002F6F6F">
      <w:pPr>
        <w:outlineLvl w:val="0"/>
        <w:rPr>
          <w:rFonts w:ascii="Times New Roman" w:hAnsi="Times New Roman"/>
          <w:sz w:val="24"/>
          <w:szCs w:val="24"/>
        </w:rPr>
      </w:pPr>
      <w:r w:rsidRPr="00E607AF">
        <w:rPr>
          <w:rFonts w:ascii="Times New Roman" w:hAnsi="Times New Roman"/>
          <w:b/>
          <w:sz w:val="24"/>
          <w:szCs w:val="24"/>
        </w:rPr>
        <w:t>NOTAT</w:t>
      </w:r>
    </w:p>
    <w:p w:rsidR="002F6F6F" w:rsidRDefault="002F6F6F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gramStart"/>
      <w:r>
        <w:rPr>
          <w:sz w:val="24"/>
        </w:rPr>
        <w:t xml:space="preserve">Til:  </w:t>
      </w:r>
      <w:r>
        <w:rPr>
          <w:sz w:val="24"/>
        </w:rPr>
        <w:tab/>
      </w:r>
      <w:proofErr w:type="gramEnd"/>
      <w:r>
        <w:rPr>
          <w:sz w:val="24"/>
        </w:rPr>
        <w:t>St</w:t>
      </w:r>
      <w:r w:rsidRPr="004F5024">
        <w:rPr>
          <w:sz w:val="24"/>
          <w:szCs w:val="24"/>
        </w:rPr>
        <w:t>yret</w:t>
      </w:r>
    </w:p>
    <w:p w:rsidR="002F6F6F" w:rsidRDefault="002F6F6F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Fra: </w:t>
      </w:r>
      <w:r>
        <w:rPr>
          <w:sz w:val="24"/>
        </w:rPr>
        <w:tab/>
      </w:r>
      <w:r w:rsidR="00CC5A54">
        <w:rPr>
          <w:sz w:val="24"/>
        </w:rPr>
        <w:t>Senter</w:t>
      </w:r>
      <w:r>
        <w:rPr>
          <w:sz w:val="24"/>
        </w:rPr>
        <w:t>leder</w:t>
      </w:r>
    </w:p>
    <w:p w:rsidR="002F6F6F" w:rsidRDefault="002F6F6F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Sakstype: </w:t>
      </w:r>
      <w:r>
        <w:rPr>
          <w:sz w:val="24"/>
        </w:rPr>
        <w:tab/>
        <w:t xml:space="preserve">Vedtakssak </w:t>
      </w:r>
    </w:p>
    <w:p w:rsidR="002F6F6F" w:rsidRDefault="002F6F6F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proofErr w:type="spellStart"/>
      <w:r>
        <w:rPr>
          <w:sz w:val="24"/>
        </w:rPr>
        <w:t>Saksnr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 w:rsidR="00721191">
        <w:rPr>
          <w:sz w:val="24"/>
        </w:rPr>
        <w:t>30/2018</w:t>
      </w:r>
    </w:p>
    <w:p w:rsidR="002F6F6F" w:rsidRDefault="00056838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>Møtedato:</w:t>
      </w:r>
      <w:r>
        <w:rPr>
          <w:sz w:val="24"/>
        </w:rPr>
        <w:tab/>
      </w:r>
      <w:r w:rsidR="00721191">
        <w:rPr>
          <w:sz w:val="24"/>
        </w:rPr>
        <w:t>4</w:t>
      </w:r>
      <w:r w:rsidR="0018324C">
        <w:rPr>
          <w:sz w:val="24"/>
        </w:rPr>
        <w:t>.12.201</w:t>
      </w:r>
      <w:r w:rsidR="00721191">
        <w:rPr>
          <w:sz w:val="24"/>
        </w:rPr>
        <w:t>8</w:t>
      </w:r>
      <w:r w:rsidR="0018324C">
        <w:rPr>
          <w:sz w:val="24"/>
        </w:rPr>
        <w:tab/>
      </w:r>
    </w:p>
    <w:p w:rsidR="002F6F6F" w:rsidRPr="00096884" w:rsidRDefault="00990B8B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>
        <w:rPr>
          <w:sz w:val="24"/>
        </w:rPr>
        <w:t xml:space="preserve">Notatdato: </w:t>
      </w:r>
      <w:r>
        <w:rPr>
          <w:sz w:val="24"/>
        </w:rPr>
        <w:tab/>
      </w:r>
      <w:r w:rsidR="00721191">
        <w:rPr>
          <w:sz w:val="24"/>
        </w:rPr>
        <w:t>28.11.2018</w:t>
      </w:r>
      <w:r w:rsidR="00BF04F2">
        <w:rPr>
          <w:sz w:val="24"/>
        </w:rPr>
        <w:tab/>
      </w:r>
    </w:p>
    <w:p w:rsidR="00E221C4" w:rsidRPr="00096884" w:rsidRDefault="002F6F6F" w:rsidP="002F6F6F">
      <w:pPr>
        <w:pStyle w:val="gp-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spacing w:before="80"/>
        <w:rPr>
          <w:sz w:val="24"/>
        </w:rPr>
      </w:pPr>
      <w:r w:rsidRPr="00096884">
        <w:rPr>
          <w:sz w:val="24"/>
        </w:rPr>
        <w:t xml:space="preserve">Saksbehandler: </w:t>
      </w:r>
      <w:r w:rsidRPr="00096884">
        <w:rPr>
          <w:sz w:val="24"/>
        </w:rPr>
        <w:tab/>
      </w:r>
      <w:r w:rsidR="00C44097">
        <w:rPr>
          <w:sz w:val="24"/>
        </w:rPr>
        <w:t xml:space="preserve">Fredrik Emil </w:t>
      </w:r>
      <w:proofErr w:type="spellStart"/>
      <w:r w:rsidR="00C44097">
        <w:rPr>
          <w:sz w:val="24"/>
        </w:rPr>
        <w:t>Olsbu</w:t>
      </w:r>
      <w:proofErr w:type="spellEnd"/>
      <w:r w:rsidR="00C44097">
        <w:rPr>
          <w:sz w:val="24"/>
        </w:rPr>
        <w:t>/Frode Løvik</w:t>
      </w:r>
    </w:p>
    <w:p w:rsidR="00F6089F" w:rsidRDefault="00F6089F" w:rsidP="002026CC">
      <w:pPr>
        <w:rPr>
          <w:rFonts w:ascii="Times New Roman" w:hAnsi="Times New Roman"/>
          <w:b/>
          <w:sz w:val="32"/>
          <w:szCs w:val="32"/>
        </w:rPr>
      </w:pPr>
    </w:p>
    <w:p w:rsidR="002026CC" w:rsidRDefault="00335499" w:rsidP="002026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</w:t>
      </w:r>
      <w:r w:rsidR="00134FC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lag til b</w:t>
      </w:r>
      <w:r w:rsidR="002F1CFD" w:rsidRPr="00335499">
        <w:rPr>
          <w:rFonts w:ascii="Times New Roman" w:hAnsi="Times New Roman"/>
          <w:b/>
          <w:sz w:val="32"/>
          <w:szCs w:val="32"/>
        </w:rPr>
        <w:t>udsjett</w:t>
      </w:r>
      <w:r w:rsidR="002026CC" w:rsidRPr="00335499">
        <w:rPr>
          <w:rFonts w:ascii="Times New Roman" w:hAnsi="Times New Roman"/>
          <w:b/>
          <w:sz w:val="32"/>
          <w:szCs w:val="32"/>
        </w:rPr>
        <w:t xml:space="preserve"> 201</w:t>
      </w:r>
      <w:r w:rsidR="00EE27CC">
        <w:rPr>
          <w:rFonts w:ascii="Times New Roman" w:hAnsi="Times New Roman"/>
          <w:b/>
          <w:sz w:val="32"/>
          <w:szCs w:val="32"/>
        </w:rPr>
        <w:t>9</w:t>
      </w:r>
      <w:bookmarkStart w:id="0" w:name="_GoBack"/>
      <w:bookmarkEnd w:id="0"/>
    </w:p>
    <w:p w:rsidR="00E11AEC" w:rsidRDefault="00E11AEC" w:rsidP="002026CC">
      <w:pPr>
        <w:rPr>
          <w:rFonts w:ascii="Times New Roman" w:hAnsi="Times New Roman"/>
          <w:b/>
          <w:sz w:val="28"/>
          <w:szCs w:val="28"/>
        </w:rPr>
      </w:pPr>
    </w:p>
    <w:p w:rsidR="00AE3490" w:rsidRPr="00F6089F" w:rsidRDefault="00AE3490" w:rsidP="002026CC">
      <w:pPr>
        <w:rPr>
          <w:rFonts w:ascii="Times New Roman" w:hAnsi="Times New Roman"/>
          <w:b/>
          <w:sz w:val="28"/>
          <w:szCs w:val="28"/>
        </w:rPr>
      </w:pPr>
      <w:r w:rsidRPr="00F6089F">
        <w:rPr>
          <w:rFonts w:ascii="Times New Roman" w:hAnsi="Times New Roman"/>
          <w:b/>
          <w:sz w:val="28"/>
          <w:szCs w:val="28"/>
        </w:rPr>
        <w:t>Bevilgning fra fakultetet</w:t>
      </w:r>
    </w:p>
    <w:p w:rsidR="00382103" w:rsidRDefault="00382103" w:rsidP="00A466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TIK-senteret har i perioden 201</w:t>
      </w:r>
      <w:r w:rsidR="009156C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201</w:t>
      </w:r>
      <w:r w:rsidR="009156C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mottatt følgende beløp i basisbevilgning</w:t>
      </w:r>
      <w:r w:rsidR="00EB6161">
        <w:rPr>
          <w:rFonts w:ascii="Times New Roman" w:hAnsi="Times New Roman"/>
        </w:rPr>
        <w:t xml:space="preserve"> (i hele tusen)</w:t>
      </w:r>
      <w:r>
        <w:rPr>
          <w:rFonts w:ascii="Times New Roman" w:hAnsi="Times New Roman"/>
        </w:rPr>
        <w:t>:</w:t>
      </w:r>
    </w:p>
    <w:p w:rsidR="00580C2B" w:rsidRDefault="00580C2B" w:rsidP="00A4663C">
      <w:pPr>
        <w:spacing w:after="0"/>
        <w:rPr>
          <w:rFonts w:ascii="Times New Roman" w:hAnsi="Times New Roman"/>
          <w:i/>
        </w:rPr>
      </w:pPr>
    </w:p>
    <w:p w:rsidR="00382103" w:rsidRPr="00580C2B" w:rsidRDefault="00580C2B" w:rsidP="00A4663C">
      <w:pPr>
        <w:spacing w:after="0"/>
        <w:rPr>
          <w:rFonts w:ascii="Times New Roman" w:hAnsi="Times New Roman"/>
          <w:i/>
        </w:rPr>
      </w:pPr>
      <w:r w:rsidRPr="00AD730E">
        <w:rPr>
          <w:rFonts w:ascii="Times New Roman" w:hAnsi="Times New Roman"/>
          <w:i/>
        </w:rPr>
        <w:t xml:space="preserve">Tabell 1: </w:t>
      </w:r>
      <w:r>
        <w:rPr>
          <w:rFonts w:ascii="Times New Roman" w:hAnsi="Times New Roman"/>
          <w:i/>
        </w:rPr>
        <w:t>Bevilgning 201</w:t>
      </w:r>
      <w:r w:rsidR="003E5FD7">
        <w:rPr>
          <w:rFonts w:ascii="Times New Roman" w:hAnsi="Times New Roman"/>
          <w:i/>
        </w:rPr>
        <w:t>3- 2019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76"/>
        <w:gridCol w:w="1276"/>
        <w:gridCol w:w="1276"/>
        <w:gridCol w:w="1276"/>
      </w:tblGrid>
      <w:tr w:rsidR="003E5FD7" w:rsidRPr="00382103" w:rsidTr="003E5FD7">
        <w:trPr>
          <w:trHeight w:val="300"/>
        </w:trPr>
        <w:tc>
          <w:tcPr>
            <w:tcW w:w="1276" w:type="dxa"/>
            <w:noWrap/>
            <w:hideMark/>
          </w:tcPr>
          <w:p w:rsidR="003E5FD7" w:rsidRPr="00382103" w:rsidRDefault="003E5FD7" w:rsidP="003821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 w:rsidRPr="00382103">
              <w:rPr>
                <w:rFonts w:eastAsia="Times New Roman"/>
                <w:color w:val="000000"/>
                <w:lang w:val="en-GB" w:eastAsia="zh-CN"/>
              </w:rPr>
              <w:t>2013</w:t>
            </w:r>
          </w:p>
        </w:tc>
        <w:tc>
          <w:tcPr>
            <w:tcW w:w="1275" w:type="dxa"/>
            <w:noWrap/>
            <w:hideMark/>
          </w:tcPr>
          <w:p w:rsidR="003E5FD7" w:rsidRPr="00382103" w:rsidRDefault="003E5FD7" w:rsidP="003821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 w:rsidRPr="00382103">
              <w:rPr>
                <w:rFonts w:eastAsia="Times New Roman"/>
                <w:color w:val="000000"/>
                <w:lang w:val="en-GB" w:eastAsia="zh-CN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3E5FD7" w:rsidRPr="00382103" w:rsidRDefault="003E5FD7" w:rsidP="003821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 w:rsidRPr="00382103">
              <w:rPr>
                <w:rFonts w:eastAsia="Times New Roman"/>
                <w:color w:val="000000"/>
                <w:lang w:val="en-GB" w:eastAsia="zh-CN"/>
              </w:rPr>
              <w:t>2015</w:t>
            </w:r>
          </w:p>
        </w:tc>
        <w:tc>
          <w:tcPr>
            <w:tcW w:w="1276" w:type="dxa"/>
          </w:tcPr>
          <w:p w:rsidR="003E5FD7" w:rsidRPr="00382103" w:rsidRDefault="003E5FD7" w:rsidP="003821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2016</w:t>
            </w:r>
          </w:p>
        </w:tc>
        <w:tc>
          <w:tcPr>
            <w:tcW w:w="1276" w:type="dxa"/>
          </w:tcPr>
          <w:p w:rsidR="003E5FD7" w:rsidRDefault="003E5FD7" w:rsidP="003E5FD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2017</w:t>
            </w:r>
          </w:p>
        </w:tc>
        <w:tc>
          <w:tcPr>
            <w:tcW w:w="1276" w:type="dxa"/>
          </w:tcPr>
          <w:p w:rsidR="003E5FD7" w:rsidRDefault="003E5FD7" w:rsidP="003821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2018</w:t>
            </w:r>
          </w:p>
        </w:tc>
        <w:tc>
          <w:tcPr>
            <w:tcW w:w="1276" w:type="dxa"/>
          </w:tcPr>
          <w:p w:rsidR="003E5FD7" w:rsidRDefault="003E5FD7" w:rsidP="003821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2019</w:t>
            </w:r>
          </w:p>
        </w:tc>
      </w:tr>
      <w:tr w:rsidR="003E5FD7" w:rsidRPr="00382103" w:rsidTr="003E5FD7">
        <w:trPr>
          <w:trHeight w:val="300"/>
        </w:trPr>
        <w:tc>
          <w:tcPr>
            <w:tcW w:w="1276" w:type="dxa"/>
            <w:noWrap/>
            <w:hideMark/>
          </w:tcPr>
          <w:p w:rsidR="003E5FD7" w:rsidRPr="00382103" w:rsidRDefault="003E5FD7" w:rsidP="00382103">
            <w:pPr>
              <w:spacing w:after="0" w:line="240" w:lineRule="auto"/>
              <w:rPr>
                <w:rFonts w:eastAsia="Times New Roman"/>
                <w:color w:val="000000"/>
                <w:lang w:val="en-GB" w:eastAsia="zh-CN"/>
              </w:rPr>
            </w:pPr>
            <w:r w:rsidRPr="00382103">
              <w:rPr>
                <w:rFonts w:eastAsia="Times New Roman"/>
                <w:color w:val="000000"/>
                <w:lang w:val="en-GB" w:eastAsia="zh-CN"/>
              </w:rPr>
              <w:t xml:space="preserve">       12 210 </w:t>
            </w:r>
          </w:p>
        </w:tc>
        <w:tc>
          <w:tcPr>
            <w:tcW w:w="1275" w:type="dxa"/>
            <w:noWrap/>
            <w:hideMark/>
          </w:tcPr>
          <w:p w:rsidR="003E5FD7" w:rsidRPr="00382103" w:rsidRDefault="003E5FD7" w:rsidP="00382103">
            <w:pPr>
              <w:spacing w:after="0" w:line="240" w:lineRule="auto"/>
              <w:rPr>
                <w:rFonts w:eastAsia="Times New Roman"/>
                <w:color w:val="000000"/>
                <w:lang w:val="en-GB" w:eastAsia="zh-CN"/>
              </w:rPr>
            </w:pPr>
            <w:r w:rsidRPr="00382103">
              <w:rPr>
                <w:rFonts w:eastAsia="Times New Roman"/>
                <w:color w:val="000000"/>
                <w:lang w:val="en-GB" w:eastAsia="zh-CN"/>
              </w:rPr>
              <w:t xml:space="preserve">       12 553 </w:t>
            </w:r>
          </w:p>
        </w:tc>
        <w:tc>
          <w:tcPr>
            <w:tcW w:w="1276" w:type="dxa"/>
            <w:noWrap/>
            <w:hideMark/>
          </w:tcPr>
          <w:p w:rsidR="003E5FD7" w:rsidRPr="00382103" w:rsidRDefault="003E5FD7" w:rsidP="00382103">
            <w:pPr>
              <w:spacing w:after="0" w:line="240" w:lineRule="auto"/>
              <w:rPr>
                <w:rFonts w:eastAsia="Times New Roman"/>
                <w:color w:val="000000"/>
                <w:lang w:val="en-GB" w:eastAsia="zh-CN"/>
              </w:rPr>
            </w:pPr>
            <w:r w:rsidRPr="00382103">
              <w:rPr>
                <w:rFonts w:eastAsia="Times New Roman"/>
                <w:color w:val="000000"/>
                <w:lang w:val="en-GB" w:eastAsia="zh-CN"/>
              </w:rPr>
              <w:t xml:space="preserve">       12 855 </w:t>
            </w:r>
          </w:p>
        </w:tc>
        <w:tc>
          <w:tcPr>
            <w:tcW w:w="1276" w:type="dxa"/>
          </w:tcPr>
          <w:p w:rsidR="003E5FD7" w:rsidRPr="00382103" w:rsidRDefault="003E5FD7" w:rsidP="00382103">
            <w:pPr>
              <w:spacing w:after="0" w:line="240" w:lineRule="auto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 xml:space="preserve">         13 490</w:t>
            </w:r>
          </w:p>
        </w:tc>
        <w:tc>
          <w:tcPr>
            <w:tcW w:w="1276" w:type="dxa"/>
          </w:tcPr>
          <w:p w:rsidR="003E5FD7" w:rsidRDefault="003E5FD7" w:rsidP="00E24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12 937</w:t>
            </w:r>
          </w:p>
        </w:tc>
        <w:tc>
          <w:tcPr>
            <w:tcW w:w="1276" w:type="dxa"/>
          </w:tcPr>
          <w:p w:rsidR="003E5FD7" w:rsidRDefault="003E5FD7" w:rsidP="00E24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14 181</w:t>
            </w:r>
          </w:p>
        </w:tc>
        <w:tc>
          <w:tcPr>
            <w:tcW w:w="1276" w:type="dxa"/>
          </w:tcPr>
          <w:p w:rsidR="003E5FD7" w:rsidRDefault="003E5FD7" w:rsidP="00E24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val="en-GB" w:eastAsia="zh-CN"/>
              </w:rPr>
              <w:t>12 435</w:t>
            </w:r>
          </w:p>
        </w:tc>
      </w:tr>
    </w:tbl>
    <w:p w:rsidR="00E2406D" w:rsidRDefault="00E2406D" w:rsidP="00A4663C">
      <w:pPr>
        <w:spacing w:after="0"/>
        <w:rPr>
          <w:rFonts w:ascii="Times New Roman" w:hAnsi="Times New Roman"/>
        </w:rPr>
      </w:pPr>
    </w:p>
    <w:p w:rsidR="00E11AEC" w:rsidRDefault="00E11AEC" w:rsidP="00B14C8B">
      <w:pPr>
        <w:spacing w:after="0"/>
        <w:rPr>
          <w:rFonts w:ascii="Times New Roman" w:hAnsi="Times New Roman"/>
        </w:rPr>
      </w:pPr>
    </w:p>
    <w:p w:rsidR="00B73C81" w:rsidRDefault="00A4663C" w:rsidP="00B14C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disposisjonsskriv for SV-fakultetet for 201</w:t>
      </w:r>
      <w:r w:rsidR="003E5FD7">
        <w:rPr>
          <w:rFonts w:ascii="Times New Roman" w:hAnsi="Times New Roman"/>
        </w:rPr>
        <w:t>9</w:t>
      </w:r>
      <w:r w:rsidR="00E240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vises</w:t>
      </w:r>
      <w:r w:rsidRPr="009F7A9C">
        <w:rPr>
          <w:rFonts w:ascii="Times New Roman" w:hAnsi="Times New Roman"/>
        </w:rPr>
        <w:t xml:space="preserve"> en </w:t>
      </w:r>
      <w:r w:rsidR="00F6089F">
        <w:rPr>
          <w:rFonts w:ascii="Times New Roman" w:hAnsi="Times New Roman"/>
        </w:rPr>
        <w:t>sum</w:t>
      </w:r>
      <w:r w:rsidRPr="009F7A9C">
        <w:rPr>
          <w:rFonts w:ascii="Times New Roman" w:hAnsi="Times New Roman"/>
        </w:rPr>
        <w:t xml:space="preserve"> til </w:t>
      </w:r>
      <w:r w:rsidR="00F6089F">
        <w:rPr>
          <w:rFonts w:ascii="Times New Roman" w:hAnsi="Times New Roman"/>
        </w:rPr>
        <w:t xml:space="preserve">TIK-senteret </w:t>
      </w:r>
      <w:r w:rsidR="00EB6161">
        <w:rPr>
          <w:rFonts w:ascii="Times New Roman" w:hAnsi="Times New Roman"/>
        </w:rPr>
        <w:t>på</w:t>
      </w:r>
      <w:r>
        <w:rPr>
          <w:rFonts w:ascii="Times New Roman" w:hAnsi="Times New Roman"/>
        </w:rPr>
        <w:t xml:space="preserve"> </w:t>
      </w:r>
      <w:r w:rsidR="00EB6161">
        <w:rPr>
          <w:rFonts w:ascii="Times New Roman" w:hAnsi="Times New Roman"/>
        </w:rPr>
        <w:t xml:space="preserve">kr </w:t>
      </w:r>
      <w:r w:rsidR="003E5FD7">
        <w:rPr>
          <w:rFonts w:ascii="Times New Roman" w:hAnsi="Times New Roman"/>
        </w:rPr>
        <w:t>12</w:t>
      </w:r>
      <w:r w:rsidR="00D81145">
        <w:rPr>
          <w:rFonts w:ascii="Times New Roman" w:hAnsi="Times New Roman"/>
        </w:rPr>
        <w:t> </w:t>
      </w:r>
      <w:r w:rsidR="003E5FD7">
        <w:rPr>
          <w:rFonts w:ascii="Times New Roman" w:hAnsi="Times New Roman"/>
        </w:rPr>
        <w:t>435</w:t>
      </w:r>
      <w:r w:rsidR="00D81145">
        <w:rPr>
          <w:rFonts w:ascii="Times New Roman" w:hAnsi="Times New Roman"/>
        </w:rPr>
        <w:t>’</w:t>
      </w:r>
      <w:r w:rsidR="00B73C81">
        <w:rPr>
          <w:rFonts w:ascii="Times New Roman" w:hAnsi="Times New Roman"/>
        </w:rPr>
        <w:t>. Denne er fastsatt etter den nye fordelingsmodellen som fakultetsstyret vedtok i oktober i år. Styret er tidligere orientert om de endringene som denne modellen omfatter.</w:t>
      </w:r>
    </w:p>
    <w:p w:rsidR="00B73C81" w:rsidRDefault="00B73C81" w:rsidP="00B14C8B">
      <w:pPr>
        <w:spacing w:after="0"/>
        <w:rPr>
          <w:rFonts w:ascii="Times New Roman" w:hAnsi="Times New Roman"/>
        </w:rPr>
      </w:pPr>
    </w:p>
    <w:p w:rsidR="00B73C81" w:rsidRPr="00A631AE" w:rsidRDefault="00E11AEC" w:rsidP="00A631A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73C81" w:rsidRPr="00A631AE">
        <w:rPr>
          <w:rFonts w:ascii="Times New Roman" w:hAnsi="Times New Roman"/>
        </w:rPr>
        <w:t>lantallskomponenten er erstattet med et beløp fastsatt på grun</w:t>
      </w:r>
      <w:r w:rsidR="00A631AE" w:rsidRPr="00A631AE">
        <w:rPr>
          <w:rFonts w:ascii="Times New Roman" w:hAnsi="Times New Roman"/>
        </w:rPr>
        <w:t xml:space="preserve">nlag av enhetenes </w:t>
      </w:r>
      <w:r>
        <w:rPr>
          <w:rFonts w:ascii="Times New Roman" w:hAnsi="Times New Roman"/>
        </w:rPr>
        <w:t>studie</w:t>
      </w:r>
      <w:r w:rsidR="00A631AE" w:rsidRPr="00A631AE">
        <w:rPr>
          <w:rFonts w:ascii="Times New Roman" w:hAnsi="Times New Roman"/>
        </w:rPr>
        <w:t>opptaksrammer.</w:t>
      </w:r>
    </w:p>
    <w:p w:rsidR="00A631AE" w:rsidRPr="00A631AE" w:rsidRDefault="00A631AE" w:rsidP="00A631AE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A631AE">
        <w:rPr>
          <w:rFonts w:ascii="Times New Roman" w:hAnsi="Times New Roman"/>
        </w:rPr>
        <w:t xml:space="preserve">Innføring av en skatt på alle inntekter </w:t>
      </w:r>
      <w:r w:rsidR="00E11AEC">
        <w:rPr>
          <w:rFonts w:ascii="Times New Roman" w:hAnsi="Times New Roman"/>
        </w:rPr>
        <w:t>til finansiering av</w:t>
      </w:r>
      <w:r w:rsidRPr="00A631AE">
        <w:rPr>
          <w:rFonts w:ascii="Times New Roman" w:hAnsi="Times New Roman"/>
        </w:rPr>
        <w:t xml:space="preserve"> fakultetsadministrasjonen.</w:t>
      </w:r>
    </w:p>
    <w:p w:rsidR="00A631AE" w:rsidRDefault="00A631AE" w:rsidP="00B14C8B">
      <w:pPr>
        <w:spacing w:after="0"/>
        <w:rPr>
          <w:rFonts w:ascii="Times New Roman" w:hAnsi="Times New Roman"/>
        </w:rPr>
      </w:pPr>
    </w:p>
    <w:p w:rsidR="00A631AE" w:rsidRDefault="00A631AE" w:rsidP="00B14C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tillegg er det innført en ny ordning for intern husleie for hele universitetet. Denne ordningen fører til at kompensasjon for intern husleie over basis er fjernet.</w:t>
      </w:r>
    </w:p>
    <w:p w:rsidR="00B73C81" w:rsidRDefault="00B73C81" w:rsidP="00B14C8B">
      <w:pPr>
        <w:spacing w:after="0"/>
        <w:rPr>
          <w:rFonts w:ascii="Times New Roman" w:hAnsi="Times New Roman"/>
        </w:rPr>
      </w:pPr>
    </w:p>
    <w:p w:rsidR="00B14C8B" w:rsidRDefault="00B73C81" w:rsidP="00B14C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</w:t>
      </w:r>
      <w:r w:rsidR="00E11AEC">
        <w:rPr>
          <w:rFonts w:ascii="Times New Roman" w:hAnsi="Times New Roman"/>
        </w:rPr>
        <w:t>eregningen av b</w:t>
      </w:r>
      <w:r>
        <w:rPr>
          <w:rFonts w:ascii="Times New Roman" w:hAnsi="Times New Roman"/>
        </w:rPr>
        <w:t>evilgningen for 2019 er derfor ikke sammenl</w:t>
      </w:r>
      <w:r w:rsidR="0063530F">
        <w:rPr>
          <w:rFonts w:ascii="Times New Roman" w:hAnsi="Times New Roman"/>
        </w:rPr>
        <w:t>ignbar med be</w:t>
      </w:r>
      <w:r w:rsidR="00E11AEC">
        <w:rPr>
          <w:rFonts w:ascii="Times New Roman" w:hAnsi="Times New Roman"/>
        </w:rPr>
        <w:t>regningene</w:t>
      </w:r>
      <w:r w:rsidR="0063530F">
        <w:rPr>
          <w:rFonts w:ascii="Times New Roman" w:hAnsi="Times New Roman"/>
        </w:rPr>
        <w:t xml:space="preserve"> for 2018</w:t>
      </w:r>
      <w:r w:rsidR="00E11AEC">
        <w:rPr>
          <w:rFonts w:ascii="Times New Roman" w:hAnsi="Times New Roman"/>
        </w:rPr>
        <w:t xml:space="preserve"> og tidligere år.</w:t>
      </w:r>
    </w:p>
    <w:p w:rsidR="00D81145" w:rsidRDefault="00D81145" w:rsidP="00B14C8B">
      <w:pPr>
        <w:spacing w:after="0"/>
        <w:rPr>
          <w:rFonts w:ascii="Times New Roman" w:hAnsi="Times New Roman"/>
        </w:rPr>
      </w:pPr>
    </w:p>
    <w:p w:rsidR="003E5FD7" w:rsidRPr="00B14C8B" w:rsidRDefault="003E5FD7" w:rsidP="00B14C8B">
      <w:pPr>
        <w:spacing w:after="0"/>
        <w:rPr>
          <w:rFonts w:ascii="Times New Roman" w:hAnsi="Times New Roman"/>
        </w:rPr>
      </w:pPr>
    </w:p>
    <w:p w:rsidR="00124FFA" w:rsidRDefault="00124FF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B14C8B" w:rsidRPr="00B14C8B" w:rsidRDefault="00580C2B" w:rsidP="00124FF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Tabell 2</w:t>
      </w:r>
      <w:r w:rsidR="00B14C8B" w:rsidRPr="00AD730E">
        <w:rPr>
          <w:rFonts w:ascii="Times New Roman" w:hAnsi="Times New Roman"/>
          <w:i/>
        </w:rPr>
        <w:t xml:space="preserve">: </w:t>
      </w:r>
      <w:r w:rsidR="00E2406D">
        <w:rPr>
          <w:rFonts w:ascii="Times New Roman" w:hAnsi="Times New Roman"/>
          <w:i/>
        </w:rPr>
        <w:t>Bevilgningsdetaljer for</w:t>
      </w:r>
      <w:r w:rsidR="00B14C8B">
        <w:rPr>
          <w:rFonts w:ascii="Times New Roman" w:hAnsi="Times New Roman"/>
          <w:i/>
        </w:rPr>
        <w:t xml:space="preserve"> </w:t>
      </w:r>
      <w:r w:rsidR="008473D9">
        <w:rPr>
          <w:rFonts w:ascii="Times New Roman" w:hAnsi="Times New Roman"/>
          <w:i/>
        </w:rPr>
        <w:t>2019</w:t>
      </w:r>
    </w:p>
    <w:tbl>
      <w:tblPr>
        <w:tblW w:w="2101" w:type="pct"/>
        <w:tblLook w:val="04A0" w:firstRow="1" w:lastRow="0" w:firstColumn="1" w:lastColumn="0" w:noHBand="0" w:noVBand="1"/>
      </w:tblPr>
      <w:tblGrid>
        <w:gridCol w:w="2662"/>
        <w:gridCol w:w="1150"/>
      </w:tblGrid>
      <w:tr w:rsidR="008473D9" w:rsidRPr="00134FC3" w:rsidTr="008473D9">
        <w:trPr>
          <w:trHeight w:val="330"/>
        </w:trPr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A4663C" w:rsidRDefault="008473D9" w:rsidP="00E2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B73C81" w:rsidRDefault="008473D9" w:rsidP="0084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B73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B73C81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eastAsia="zh-CN"/>
              </w:rPr>
            </w:pPr>
            <w:proofErr w:type="spellStart"/>
            <w:r w:rsidRPr="00B73C81">
              <w:rPr>
                <w:rFonts w:ascii="Arial" w:eastAsia="Times New Roman" w:hAnsi="Arial" w:cs="Arial"/>
                <w:color w:val="000080"/>
                <w:sz w:val="16"/>
                <w:szCs w:val="16"/>
                <w:lang w:eastAsia="zh-CN"/>
              </w:rPr>
              <w:t>PhD</w:t>
            </w:r>
            <w:proofErr w:type="spellEnd"/>
            <w:r w:rsidRPr="00B73C81">
              <w:rPr>
                <w:rFonts w:ascii="Arial" w:eastAsia="Times New Roman" w:hAnsi="Arial" w:cs="Arial"/>
                <w:color w:val="000080"/>
                <w:sz w:val="16"/>
                <w:szCs w:val="16"/>
                <w:lang w:eastAsia="zh-CN"/>
              </w:rPr>
              <w:t>-stillinger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B73C81" w:rsidRDefault="008473D9" w:rsidP="00847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B73C8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3 467</w:t>
            </w:r>
            <w:r w:rsidRPr="00B73C8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Post.doc.-</w:t>
            </w: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stillinger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1 037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EE27CC" w:rsidP="008473D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hyperlink w:history="1">
              <w:proofErr w:type="spellStart"/>
              <w:r w:rsidR="008473D9">
                <w:rPr>
                  <w:rFonts w:ascii="Arial" w:eastAsia="Times New Roman" w:hAnsi="Arial" w:cs="Arial"/>
                  <w:color w:val="000080"/>
                  <w:sz w:val="16"/>
                  <w:szCs w:val="16"/>
                  <w:lang w:val="en-US" w:eastAsia="zh-CN"/>
                </w:rPr>
                <w:t>Opptaksrammer</w:t>
              </w:r>
              <w:proofErr w:type="spellEnd"/>
            </w:hyperlink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847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2 742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SUM BASIS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7 246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Studiepoenginntekter</w:t>
            </w:r>
            <w:proofErr w:type="spellEnd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MASTER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84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1 621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Utvekslingsstudenter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  42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PhD-</w:t>
            </w: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kandidater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590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NFR-</w:t>
            </w: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inntekter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847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662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EU-</w:t>
            </w: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inntekter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1 819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BoA-inntekter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3D9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171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Publikasjonspoeng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500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SUM RESULTATER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        5 404</w:t>
            </w: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Annet</w:t>
            </w:r>
            <w:proofErr w:type="spellEnd"/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672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 w:rsidRPr="00134FC3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Forskningssatsninger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CenSES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           5</w:t>
            </w:r>
            <w:r w:rsidRPr="00134FC3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00 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Forskningssatsninger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(ERC)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400</w:t>
            </w:r>
          </w:p>
        </w:tc>
      </w:tr>
      <w:tr w:rsidR="008473D9" w:rsidRPr="00134FC3" w:rsidTr="008473D9">
        <w:trPr>
          <w:trHeight w:val="300"/>
        </w:trPr>
        <w:tc>
          <w:tcPr>
            <w:tcW w:w="3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8473D9" w:rsidP="00E2406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SUM SATSNINGER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        1 572</w:t>
            </w: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E11AEC">
        <w:trPr>
          <w:trHeight w:val="300"/>
        </w:trPr>
        <w:tc>
          <w:tcPr>
            <w:tcW w:w="3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8473D9" w:rsidRDefault="008473D9" w:rsidP="00847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847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Sum før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 skatt</w:t>
            </w:r>
            <w:r w:rsidRPr="00847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 og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ilpasning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D9" w:rsidRPr="00134FC3" w:rsidRDefault="008473D9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847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14 222</w:t>
            </w:r>
            <w:r w:rsidRPr="00134F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473D9" w:rsidRPr="00134FC3" w:rsidTr="00E11AEC">
        <w:trPr>
          <w:trHeight w:val="315"/>
        </w:trPr>
        <w:tc>
          <w:tcPr>
            <w:tcW w:w="34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473D9" w:rsidRDefault="008473D9" w:rsidP="00E2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Skatt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eksterne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inntekter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E11AEC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2 833</w:t>
            </w:r>
          </w:p>
        </w:tc>
      </w:tr>
      <w:tr w:rsidR="008473D9" w:rsidRPr="00134FC3" w:rsidTr="00E11AEC">
        <w:trPr>
          <w:trHeight w:val="315"/>
        </w:trPr>
        <w:tc>
          <w:tcPr>
            <w:tcW w:w="3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Default="008473D9" w:rsidP="00E2406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Skatt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 xml:space="preserve"> interne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inntekter</w:t>
            </w:r>
            <w:proofErr w:type="spellEnd"/>
          </w:p>
        </w:tc>
        <w:tc>
          <w:tcPr>
            <w:tcW w:w="15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E11AEC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1 986</w:t>
            </w:r>
          </w:p>
        </w:tc>
      </w:tr>
      <w:tr w:rsidR="00E11AEC" w:rsidRPr="00134FC3" w:rsidTr="00E11AEC">
        <w:trPr>
          <w:trHeight w:val="315"/>
        </w:trPr>
        <w:tc>
          <w:tcPr>
            <w:tcW w:w="349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11AEC" w:rsidRPr="00E11AEC" w:rsidRDefault="00E11AEC" w:rsidP="00E2406D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val="en-US" w:eastAsia="zh-CN"/>
              </w:rPr>
            </w:pPr>
            <w:proofErr w:type="spellStart"/>
            <w:r w:rsidRPr="00E11AEC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Fordeling</w:t>
            </w:r>
            <w:proofErr w:type="spellEnd"/>
            <w:r w:rsidRPr="00E11AEC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E11AEC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før</w:t>
            </w:r>
            <w:proofErr w:type="spellEnd"/>
            <w:r w:rsidRPr="00E11AEC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E11AEC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tilpasning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11AEC" w:rsidRDefault="00E11AEC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9 403</w:t>
            </w:r>
          </w:p>
        </w:tc>
      </w:tr>
      <w:tr w:rsidR="008473D9" w:rsidRPr="00134FC3" w:rsidTr="008473D9">
        <w:trPr>
          <w:trHeight w:val="315"/>
        </w:trPr>
        <w:tc>
          <w:tcPr>
            <w:tcW w:w="3492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Default="00E11AEC" w:rsidP="00E2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zh-CN"/>
              </w:rPr>
              <w:t>Tilpasningsledd</w:t>
            </w:r>
            <w:proofErr w:type="spellEnd"/>
          </w:p>
        </w:tc>
        <w:tc>
          <w:tcPr>
            <w:tcW w:w="1508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E11AEC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3 032</w:t>
            </w:r>
          </w:p>
        </w:tc>
      </w:tr>
      <w:tr w:rsidR="008473D9" w:rsidRPr="00134FC3" w:rsidTr="008473D9">
        <w:trPr>
          <w:trHeight w:val="315"/>
        </w:trPr>
        <w:tc>
          <w:tcPr>
            <w:tcW w:w="349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8473D9" w:rsidP="00E2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Fordelt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basisbevilgning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73D9" w:rsidRPr="00134FC3" w:rsidRDefault="00E11AEC" w:rsidP="00E24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12 435</w:t>
            </w:r>
          </w:p>
        </w:tc>
      </w:tr>
    </w:tbl>
    <w:p w:rsidR="00B14C8B" w:rsidRDefault="00B14C8B" w:rsidP="0010430D">
      <w:pPr>
        <w:spacing w:after="0"/>
        <w:rPr>
          <w:rFonts w:ascii="Times New Roman" w:hAnsi="Times New Roman"/>
        </w:rPr>
      </w:pPr>
    </w:p>
    <w:p w:rsidR="0059642A" w:rsidRDefault="0063530F" w:rsidP="001F7E80">
      <w:pPr>
        <w:rPr>
          <w:rFonts w:ascii="Times New Roman" w:hAnsi="Times New Roman"/>
        </w:rPr>
      </w:pPr>
      <w:r>
        <w:rPr>
          <w:rFonts w:ascii="Times New Roman" w:hAnsi="Times New Roman"/>
        </w:rPr>
        <w:t>TIK vil også i 2019 motta støtte til ulike prosjekt fra andre enheter ved UiO</w:t>
      </w:r>
      <w:r w:rsidR="001F7E80">
        <w:rPr>
          <w:rFonts w:ascii="Times New Roman" w:hAnsi="Times New Roman"/>
        </w:rPr>
        <w:t>. D</w:t>
      </w:r>
      <w:r>
        <w:rPr>
          <w:rFonts w:ascii="Times New Roman" w:hAnsi="Times New Roman"/>
        </w:rPr>
        <w:t>iss</w:t>
      </w:r>
      <w:r w:rsidR="006F0269">
        <w:rPr>
          <w:rFonts w:ascii="Times New Roman" w:hAnsi="Times New Roman"/>
        </w:rPr>
        <w:t>e interne tildelinge</w:t>
      </w:r>
      <w:r w:rsidR="001F7E80">
        <w:rPr>
          <w:rFonts w:ascii="Times New Roman" w:hAnsi="Times New Roman"/>
        </w:rPr>
        <w:t>ne</w:t>
      </w:r>
      <w:r w:rsidR="006F0269">
        <w:rPr>
          <w:rFonts w:ascii="Times New Roman" w:hAnsi="Times New Roman"/>
        </w:rPr>
        <w:t xml:space="preserve"> er skilt</w:t>
      </w:r>
      <w:r w:rsidR="001F7E80">
        <w:rPr>
          <w:rFonts w:ascii="Times New Roman" w:hAnsi="Times New Roman"/>
        </w:rPr>
        <w:t xml:space="preserve"> ut i en egen linje i tabell 3.</w:t>
      </w:r>
    </w:p>
    <w:p w:rsidR="00124FFA" w:rsidRDefault="00124FFA" w:rsidP="00124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eksternfinansierte virksomheten ved TIK har økt. Vi har gått gjennom prosjektporteføljen for 2018 og oppjustert prognosen for nettobidraget til 9 529’. Dette fører til at vi vil få et positivt resultat for 2018 på kr. 3 143’ og en ytterligere økning i </w:t>
      </w:r>
      <w:proofErr w:type="spellStart"/>
      <w:r>
        <w:rPr>
          <w:rFonts w:ascii="Times New Roman" w:hAnsi="Times New Roman"/>
        </w:rPr>
        <w:t>TIKs</w:t>
      </w:r>
      <w:proofErr w:type="spellEnd"/>
      <w:r>
        <w:rPr>
          <w:rFonts w:ascii="Times New Roman" w:hAnsi="Times New Roman"/>
        </w:rPr>
        <w:t xml:space="preserve"> akkumulerte buffer og en bedring av </w:t>
      </w:r>
      <w:proofErr w:type="spellStart"/>
      <w:r>
        <w:rPr>
          <w:rFonts w:ascii="Times New Roman" w:hAnsi="Times New Roman"/>
        </w:rPr>
        <w:t>TIKs</w:t>
      </w:r>
      <w:proofErr w:type="spellEnd"/>
      <w:r>
        <w:rPr>
          <w:rFonts w:ascii="Times New Roman" w:hAnsi="Times New Roman"/>
        </w:rPr>
        <w:t xml:space="preserve"> langtidsprognose. </w:t>
      </w:r>
    </w:p>
    <w:p w:rsidR="00124FFA" w:rsidRDefault="00124FFA" w:rsidP="00124FFA">
      <w:pPr>
        <w:spacing w:after="0"/>
        <w:rPr>
          <w:rFonts w:ascii="Times New Roman" w:hAnsi="Times New Roman"/>
        </w:rPr>
      </w:pPr>
    </w:p>
    <w:p w:rsidR="00124FFA" w:rsidRDefault="00124FFA" w:rsidP="00124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Nettobidraget for 2019 er beregnet til å bli hele kr. 10 858’ og et resultatet i balanse for året som helhet. Dersom vi får positive svar på noen av de prosjektsøknadene vi har sendt, vil resultatet bli bedre.</w:t>
      </w:r>
    </w:p>
    <w:p w:rsidR="00124FFA" w:rsidRDefault="00124FFA" w:rsidP="001F7E80">
      <w:pPr>
        <w:rPr>
          <w:rFonts w:ascii="Times New Roman" w:hAnsi="Times New Roman"/>
        </w:rPr>
      </w:pPr>
    </w:p>
    <w:p w:rsidR="00E11AEC" w:rsidRPr="001F7E80" w:rsidRDefault="00E11AEC" w:rsidP="001F7E80">
      <w:pPr>
        <w:rPr>
          <w:rFonts w:ascii="Times New Roman" w:hAnsi="Times New Roman"/>
        </w:rPr>
      </w:pPr>
    </w:p>
    <w:p w:rsidR="00124FFA" w:rsidRDefault="00124FFA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i/>
        </w:rPr>
        <w:br w:type="page"/>
      </w:r>
    </w:p>
    <w:p w:rsidR="00D23A9F" w:rsidRPr="00D23A9F" w:rsidRDefault="00D23A9F" w:rsidP="00D23A9F">
      <w:pPr>
        <w:pStyle w:val="Caption"/>
        <w:keepNext/>
        <w:spacing w:after="0" w:line="360" w:lineRule="auto"/>
        <w:rPr>
          <w:rFonts w:ascii="Times New Roman" w:hAnsi="Times New Roman"/>
          <w:b w:val="0"/>
          <w:i/>
          <w:sz w:val="22"/>
          <w:szCs w:val="22"/>
        </w:rPr>
      </w:pPr>
      <w:r w:rsidRPr="00D23A9F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Tabell </w:t>
      </w:r>
      <w:r w:rsidR="00580C2B">
        <w:rPr>
          <w:rFonts w:ascii="Times New Roman" w:hAnsi="Times New Roman"/>
          <w:b w:val="0"/>
          <w:i/>
          <w:sz w:val="22"/>
          <w:szCs w:val="22"/>
        </w:rPr>
        <w:t>3</w:t>
      </w:r>
      <w:r w:rsidRPr="00D23A9F">
        <w:rPr>
          <w:rFonts w:ascii="Times New Roman" w:hAnsi="Times New Roman"/>
          <w:b w:val="0"/>
          <w:i/>
          <w:sz w:val="22"/>
          <w:szCs w:val="22"/>
        </w:rPr>
        <w:t>: Regnskap 201</w:t>
      </w:r>
      <w:r w:rsidR="003E5FD7">
        <w:rPr>
          <w:rFonts w:ascii="Times New Roman" w:hAnsi="Times New Roman"/>
          <w:b w:val="0"/>
          <w:i/>
          <w:sz w:val="22"/>
          <w:szCs w:val="22"/>
        </w:rPr>
        <w:t>7</w:t>
      </w:r>
      <w:r w:rsidRPr="00D23A9F">
        <w:rPr>
          <w:rFonts w:ascii="Times New Roman" w:hAnsi="Times New Roman"/>
          <w:b w:val="0"/>
          <w:i/>
          <w:sz w:val="22"/>
          <w:szCs w:val="22"/>
        </w:rPr>
        <w:t>, Budsjett 201</w:t>
      </w:r>
      <w:r w:rsidR="003E5FD7">
        <w:rPr>
          <w:rFonts w:ascii="Times New Roman" w:hAnsi="Times New Roman"/>
          <w:b w:val="0"/>
          <w:i/>
          <w:sz w:val="22"/>
          <w:szCs w:val="22"/>
        </w:rPr>
        <w:t>8</w:t>
      </w:r>
      <w:r w:rsidRPr="00D23A9F">
        <w:rPr>
          <w:rFonts w:ascii="Times New Roman" w:hAnsi="Times New Roman"/>
          <w:b w:val="0"/>
          <w:i/>
          <w:sz w:val="22"/>
          <w:szCs w:val="22"/>
        </w:rPr>
        <w:t xml:space="preserve"> og 201</w:t>
      </w:r>
      <w:r w:rsidR="003E5FD7">
        <w:rPr>
          <w:rFonts w:ascii="Times New Roman" w:hAnsi="Times New Roman"/>
          <w:b w:val="0"/>
          <w:i/>
          <w:sz w:val="22"/>
          <w:szCs w:val="22"/>
        </w:rPr>
        <w:t>9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400"/>
        <w:gridCol w:w="1400"/>
        <w:gridCol w:w="1400"/>
        <w:gridCol w:w="1360"/>
      </w:tblGrid>
      <w:tr w:rsidR="00E11AEC" w:rsidTr="00E11AEC">
        <w:trPr>
          <w:trHeight w:val="390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Basis</w:t>
            </w:r>
          </w:p>
        </w:tc>
      </w:tr>
      <w:tr w:rsidR="00E11AEC" w:rsidTr="00E11A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11AEC" w:rsidRDefault="00E11AE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AEC" w:rsidRDefault="00E11AE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Regnskap 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AEC" w:rsidRDefault="00E11AE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Budsjett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AEC" w:rsidRDefault="00E11AE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Budsjett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AEC" w:rsidRDefault="00E11AE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Prognose 2018</w:t>
            </w:r>
          </w:p>
        </w:tc>
      </w:tr>
      <w:tr w:rsidR="00E11AEC" w:rsidTr="00E11AE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Inntekter fra bevilgning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-13 045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-14 181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-12 435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-14 181</w:t>
            </w:r>
          </w:p>
        </w:tc>
      </w:tr>
      <w:tr w:rsidR="00E11AEC" w:rsidTr="00E11AE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Andre UiO-inntekter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-1 158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-2 638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-2 161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326</w:t>
            </w:r>
          </w:p>
        </w:tc>
      </w:tr>
      <w:tr w:rsidR="00E11AEC" w:rsidTr="00E11AE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Personalkostnader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14 953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19 137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21 458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17 057</w:t>
            </w:r>
          </w:p>
        </w:tc>
      </w:tr>
      <w:tr w:rsidR="00E11AEC" w:rsidTr="00E11AE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Driftskostnader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3 811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3 668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2 930</w:t>
            </w:r>
          </w:p>
        </w:tc>
      </w:tr>
      <w:tr w:rsidR="00E11AEC" w:rsidTr="00E11A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Investeringer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</w:tr>
      <w:tr w:rsidR="00E11AEC" w:rsidTr="00E11AEC">
        <w:trPr>
          <w:trHeight w:val="46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E11AEC" w:rsidRDefault="00E11AEC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Årsresultat uten nettobidrag og prosjektavslutning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3 102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6 269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11AEC" w:rsidRDefault="00124FFA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  <w:r w:rsidR="00E11AEC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  <w:r w:rsidR="00E11AEC">
              <w:rPr>
                <w:rFonts w:cs="Calibri"/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11AEC" w:rsidRDefault="00124FFA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 w:rsidR="00E11AEC">
              <w:rPr>
                <w:rFonts w:cs="Calibri"/>
                <w:b/>
                <w:bCs/>
                <w:color w:val="000000"/>
                <w:sz w:val="16"/>
                <w:szCs w:val="16"/>
              </w:rPr>
              <w:t>6 342</w:t>
            </w:r>
          </w:p>
        </w:tc>
      </w:tr>
      <w:tr w:rsidR="00E11AEC" w:rsidTr="00E11AE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Nettobidrag fra prosjekter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-9 074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-7 369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-10 858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-9 529</w:t>
            </w:r>
          </w:p>
        </w:tc>
      </w:tr>
      <w:tr w:rsidR="00E11AEC" w:rsidTr="00E11A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Prosjektavslutning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E11AEC" w:rsidTr="00E11AEC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E11AEC" w:rsidRDefault="00E11AEC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Årsresultat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-6 092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-1 100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-3 143</w:t>
            </w:r>
          </w:p>
        </w:tc>
      </w:tr>
      <w:tr w:rsidR="00E11AEC" w:rsidTr="00E11A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Default="00E11AEC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Overført fra i fjor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-3 297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-9 389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-9 389</w:t>
            </w:r>
          </w:p>
        </w:tc>
      </w:tr>
      <w:tr w:rsidR="00E11AEC" w:rsidTr="00E11A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11AEC" w:rsidRDefault="00E11AEC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Akkumulert resultat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-9 389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-10 489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11AEC" w:rsidRDefault="00E11AEC" w:rsidP="00124FF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-12 533</w:t>
            </w:r>
          </w:p>
        </w:tc>
      </w:tr>
    </w:tbl>
    <w:p w:rsidR="009D0B88" w:rsidRPr="006F0269" w:rsidRDefault="00E11AEC" w:rsidP="006F0269">
      <w:pPr>
        <w:spacing w:line="360" w:lineRule="auto"/>
        <w:outlineLvl w:val="0"/>
        <w:rPr>
          <w:rFonts w:ascii="Times New Roman" w:eastAsia="Times New Roman" w:hAnsi="Times New Roman"/>
          <w:i/>
          <w:color w:val="000000"/>
          <w:sz w:val="16"/>
          <w:szCs w:val="16"/>
          <w:lang w:eastAsia="nb-NO"/>
        </w:rPr>
      </w:pPr>
      <w:r>
        <w:rPr>
          <w:rFonts w:ascii="Times New Roman" w:eastAsia="Times New Roman" w:hAnsi="Times New Roman"/>
          <w:i/>
          <w:color w:val="000000"/>
          <w:szCs w:val="24"/>
          <w:lang w:eastAsia="nb-NO"/>
        </w:rPr>
        <w:t xml:space="preserve"> </w:t>
      </w:r>
      <w:r w:rsidR="00D23A9F">
        <w:rPr>
          <w:rFonts w:ascii="Times New Roman" w:eastAsia="Times New Roman" w:hAnsi="Times New Roman"/>
          <w:i/>
          <w:color w:val="000000"/>
          <w:szCs w:val="24"/>
          <w:lang w:eastAsia="nb-NO"/>
        </w:rPr>
        <w:t>*</w:t>
      </w:r>
      <w:r w:rsidR="00D23A9F" w:rsidRPr="00D23A9F">
        <w:rPr>
          <w:rFonts w:ascii="Times New Roman" w:eastAsia="Times New Roman" w:hAnsi="Times New Roman"/>
          <w:i/>
          <w:color w:val="000000"/>
          <w:sz w:val="16"/>
          <w:szCs w:val="16"/>
          <w:lang w:eastAsia="nb-NO"/>
        </w:rPr>
        <w:t xml:space="preserve">Minus betegner inntekter. Minus i budsjettavvik viser underforbruk, eller økte inntekter, i forhold til budsjett. </w:t>
      </w:r>
    </w:p>
    <w:p w:rsidR="00397EE2" w:rsidRPr="00AB0918" w:rsidRDefault="00397EE2" w:rsidP="00397EE2">
      <w:pPr>
        <w:rPr>
          <w:rFonts w:ascii="Times New Roman" w:hAnsi="Times New Roman"/>
          <w:b/>
          <w:i/>
        </w:rPr>
      </w:pPr>
      <w:r w:rsidRPr="00AB0918">
        <w:rPr>
          <w:rFonts w:ascii="Times New Roman" w:hAnsi="Times New Roman"/>
          <w:b/>
          <w:i/>
        </w:rPr>
        <w:t>Personalkostnader - endringer i fastlønn:</w:t>
      </w:r>
    </w:p>
    <w:p w:rsidR="00383751" w:rsidRPr="00383751" w:rsidRDefault="00383751" w:rsidP="00383751">
      <w:pPr>
        <w:pStyle w:val="Caption"/>
        <w:keepNext/>
        <w:spacing w:after="0" w:line="360" w:lineRule="auto"/>
        <w:rPr>
          <w:rFonts w:ascii="Times New Roman" w:hAnsi="Times New Roman"/>
          <w:b w:val="0"/>
          <w:i/>
          <w:sz w:val="22"/>
          <w:szCs w:val="22"/>
        </w:rPr>
      </w:pPr>
      <w:r w:rsidRPr="00D23A9F">
        <w:rPr>
          <w:rFonts w:ascii="Times New Roman" w:hAnsi="Times New Roman"/>
          <w:b w:val="0"/>
          <w:i/>
          <w:sz w:val="22"/>
          <w:szCs w:val="22"/>
        </w:rPr>
        <w:t xml:space="preserve">Tabell </w:t>
      </w:r>
      <w:r>
        <w:rPr>
          <w:rFonts w:ascii="Times New Roman" w:hAnsi="Times New Roman"/>
          <w:b w:val="0"/>
          <w:i/>
          <w:sz w:val="22"/>
          <w:szCs w:val="22"/>
        </w:rPr>
        <w:t>4</w:t>
      </w:r>
      <w:r w:rsidRPr="00D23A9F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>
        <w:rPr>
          <w:rFonts w:ascii="Times New Roman" w:hAnsi="Times New Roman"/>
          <w:b w:val="0"/>
          <w:i/>
          <w:sz w:val="22"/>
          <w:szCs w:val="22"/>
        </w:rPr>
        <w:t>Årsverk, basisøkonomi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</w:tblGrid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  <w:b/>
              </w:rPr>
            </w:pPr>
            <w:r w:rsidRPr="005528DE">
              <w:rPr>
                <w:rFonts w:ascii="Times New Roman" w:hAnsi="Times New Roman"/>
                <w:b/>
              </w:rPr>
              <w:t>STILLING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  <w:b/>
              </w:rPr>
            </w:pPr>
            <w:r w:rsidRPr="005528DE">
              <w:rPr>
                <w:rFonts w:ascii="Times New Roman" w:hAnsi="Times New Roman"/>
                <w:b/>
              </w:rPr>
              <w:t>ÅRSVERK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</w:rPr>
            </w:pPr>
            <w:r w:rsidRPr="005528DE">
              <w:rPr>
                <w:rFonts w:ascii="Times New Roman" w:hAnsi="Times New Roman"/>
              </w:rPr>
              <w:t>Senterleder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</w:rPr>
            </w:pPr>
            <w:r w:rsidRPr="005528DE">
              <w:rPr>
                <w:rFonts w:ascii="Times New Roman" w:hAnsi="Times New Roman"/>
              </w:rPr>
              <w:t>1,0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E04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Seniorforskere (10</w:t>
            </w:r>
            <w:r w:rsidR="00383751" w:rsidRPr="005528DE">
              <w:rPr>
                <w:rFonts w:ascii="Times New Roman" w:hAnsi="Times New Roman"/>
              </w:rPr>
              <w:t xml:space="preserve"> stillinger)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E04344" w:rsidP="00B17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 w:rsidP="006A1B63">
            <w:pPr>
              <w:rPr>
                <w:rFonts w:ascii="Times New Roman" w:hAnsi="Times New Roman"/>
              </w:rPr>
            </w:pPr>
            <w:r w:rsidRPr="005528DE">
              <w:rPr>
                <w:rFonts w:ascii="Times New Roman" w:hAnsi="Times New Roman"/>
              </w:rPr>
              <w:t>Professor II (</w:t>
            </w:r>
            <w:r w:rsidR="00E04344">
              <w:rPr>
                <w:rFonts w:ascii="Times New Roman" w:hAnsi="Times New Roman"/>
              </w:rPr>
              <w:t>1 stilling</w:t>
            </w:r>
            <w:r w:rsidRPr="005528D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383751" w:rsidP="00B17DD9">
            <w:pPr>
              <w:rPr>
                <w:rFonts w:ascii="Times New Roman" w:hAnsi="Times New Roman"/>
              </w:rPr>
            </w:pPr>
            <w:r w:rsidRPr="005528DE">
              <w:rPr>
                <w:rFonts w:ascii="Times New Roman" w:hAnsi="Times New Roman"/>
              </w:rPr>
              <w:t>0,</w:t>
            </w:r>
            <w:r w:rsidR="00E04344">
              <w:rPr>
                <w:rFonts w:ascii="Times New Roman" w:hAnsi="Times New Roman"/>
              </w:rPr>
              <w:t>1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</w:rPr>
            </w:pPr>
            <w:proofErr w:type="spellStart"/>
            <w:r w:rsidRPr="005528DE">
              <w:rPr>
                <w:rFonts w:ascii="Times New Roman" w:hAnsi="Times New Roman"/>
              </w:rPr>
              <w:t>Postdoc</w:t>
            </w:r>
            <w:proofErr w:type="spellEnd"/>
            <w:r w:rsidRPr="005528DE">
              <w:rPr>
                <w:rFonts w:ascii="Times New Roman" w:hAnsi="Times New Roman"/>
              </w:rPr>
              <w:t xml:space="preserve"> </w:t>
            </w:r>
            <w:r w:rsidR="00ED3E8B">
              <w:rPr>
                <w:rFonts w:ascii="Times New Roman" w:hAnsi="Times New Roman"/>
              </w:rPr>
              <w:t>(2</w:t>
            </w:r>
            <w:r w:rsidR="007248D9">
              <w:rPr>
                <w:rFonts w:ascii="Times New Roman" w:hAnsi="Times New Roman"/>
              </w:rPr>
              <w:t xml:space="preserve"> stillinger)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E04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</w:rPr>
            </w:pPr>
            <w:proofErr w:type="spellStart"/>
            <w:r w:rsidRPr="005528DE">
              <w:rPr>
                <w:rFonts w:ascii="Times New Roman" w:hAnsi="Times New Roman"/>
              </w:rPr>
              <w:t>PhD</w:t>
            </w:r>
            <w:proofErr w:type="spellEnd"/>
            <w:r w:rsidR="00E04344">
              <w:rPr>
                <w:rFonts w:ascii="Times New Roman" w:hAnsi="Times New Roman"/>
              </w:rPr>
              <w:t xml:space="preserve"> (7</w:t>
            </w:r>
            <w:r w:rsidR="007248D9">
              <w:rPr>
                <w:rFonts w:ascii="Times New Roman" w:hAnsi="Times New Roman"/>
              </w:rPr>
              <w:t xml:space="preserve"> stillinger)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A9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</w:rPr>
            </w:pPr>
            <w:r w:rsidRPr="005528DE">
              <w:rPr>
                <w:rFonts w:ascii="Times New Roman" w:hAnsi="Times New Roman"/>
              </w:rPr>
              <w:t>Administrasjon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B17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4344">
              <w:rPr>
                <w:rFonts w:ascii="Times New Roman" w:hAnsi="Times New Roman"/>
              </w:rPr>
              <w:t>,25</w:t>
            </w:r>
          </w:p>
        </w:tc>
      </w:tr>
      <w:tr w:rsidR="00383751" w:rsidRPr="005528DE" w:rsidTr="005528DE">
        <w:tc>
          <w:tcPr>
            <w:tcW w:w="2977" w:type="dxa"/>
            <w:shd w:val="clear" w:color="auto" w:fill="auto"/>
          </w:tcPr>
          <w:p w:rsidR="00383751" w:rsidRPr="005528DE" w:rsidRDefault="00383751">
            <w:pPr>
              <w:rPr>
                <w:rFonts w:ascii="Times New Roman" w:hAnsi="Times New Roman"/>
                <w:b/>
              </w:rPr>
            </w:pPr>
            <w:r w:rsidRPr="005528DE">
              <w:rPr>
                <w:rFonts w:ascii="Times New Roman" w:hAnsi="Times New Roman"/>
                <w:b/>
              </w:rPr>
              <w:t>SUM</w:t>
            </w:r>
          </w:p>
        </w:tc>
        <w:tc>
          <w:tcPr>
            <w:tcW w:w="1418" w:type="dxa"/>
            <w:shd w:val="clear" w:color="auto" w:fill="auto"/>
          </w:tcPr>
          <w:p w:rsidR="00383751" w:rsidRPr="005528DE" w:rsidRDefault="00A92645" w:rsidP="00B17D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21,45</w:t>
            </w:r>
          </w:p>
        </w:tc>
      </w:tr>
    </w:tbl>
    <w:p w:rsidR="00770BDA" w:rsidRDefault="00770BDA" w:rsidP="00E17A38">
      <w:pPr>
        <w:rPr>
          <w:rFonts w:ascii="Times New Roman" w:hAnsi="Times New Roman"/>
        </w:rPr>
      </w:pPr>
    </w:p>
    <w:p w:rsidR="00124FFA" w:rsidRDefault="00124FFA" w:rsidP="00124F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basisfinansierte personalkostnadene vil øke i 2019 sammenlignet med 2018-budsjettet. Det skyldes rekruttering til nye seniorstillinger og oppstart i nye stillinger finansiert fra interne UiO-kilder. Sum årsverk på basis vil stige fra 20,5 i 2017 til 21,85 i 2018. Oversikt over stillinger/årsverk som inngår i basisøkonomien framgår av tabell 4. </w:t>
      </w:r>
    </w:p>
    <w:p w:rsidR="00124FFA" w:rsidRPr="00B92CF9" w:rsidRDefault="00124FFA" w:rsidP="00124FF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Vi vil trekke fram følgende forhold knyttet til personalkostnadene for 2019:</w:t>
      </w:r>
    </w:p>
    <w:p w:rsidR="00124FFA" w:rsidRDefault="00124FFA" w:rsidP="00124FF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Vi reduserer basisfinansierte doktorgradsstillinger som følge av redusert bevilgning, se over.</w:t>
      </w:r>
    </w:p>
    <w:p w:rsidR="00124FFA" w:rsidRDefault="00124FFA" w:rsidP="00124FF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Vi har ansatt to vikarer som førsteamanuensis/professor som begge starter i 2019, en vikar for senterleder og en for frikjøp knyttet til OSIRIS.</w:t>
      </w:r>
    </w:p>
    <w:p w:rsidR="00124FFA" w:rsidRDefault="00124FFA" w:rsidP="00124FF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Vi skal ansette en postdoktor til STS-gruppa på TIK for en periode på to og et halvt år.</w:t>
      </w:r>
    </w:p>
    <w:p w:rsidR="00124FFA" w:rsidRPr="00A92645" w:rsidRDefault="00124FFA" w:rsidP="00124FFA">
      <w:pPr>
        <w:numPr>
          <w:ilvl w:val="0"/>
          <w:numId w:val="6"/>
        </w:numPr>
        <w:rPr>
          <w:rFonts w:ascii="Times New Roman" w:hAnsi="Times New Roman"/>
          <w:b/>
          <w:i/>
        </w:rPr>
      </w:pPr>
      <w:r w:rsidRPr="00A92645">
        <w:rPr>
          <w:rFonts w:ascii="Times New Roman" w:hAnsi="Times New Roman"/>
        </w:rPr>
        <w:t xml:space="preserve">Vi ønsker å utvide administrasjonen med en 25 % prosjektstilling i 2019 som primært skal styrke senterets kommunikasjonskapasitet i forbindelse med </w:t>
      </w:r>
      <w:proofErr w:type="spellStart"/>
      <w:r w:rsidRPr="00A92645">
        <w:rPr>
          <w:rFonts w:ascii="Times New Roman" w:hAnsi="Times New Roman"/>
        </w:rPr>
        <w:t>TIKs</w:t>
      </w:r>
      <w:proofErr w:type="spellEnd"/>
      <w:r w:rsidRPr="00A92645">
        <w:rPr>
          <w:rFonts w:ascii="Times New Roman" w:hAnsi="Times New Roman"/>
        </w:rPr>
        <w:t xml:space="preserve"> 20 års jubileum. </w:t>
      </w:r>
    </w:p>
    <w:p w:rsidR="00B9559A" w:rsidRPr="00AB0918" w:rsidRDefault="00A62683" w:rsidP="00E17A38">
      <w:pPr>
        <w:rPr>
          <w:rFonts w:ascii="Times New Roman" w:hAnsi="Times New Roman"/>
          <w:b/>
          <w:i/>
        </w:rPr>
      </w:pPr>
      <w:r w:rsidRPr="00AB0918">
        <w:rPr>
          <w:rFonts w:ascii="Times New Roman" w:hAnsi="Times New Roman"/>
          <w:b/>
          <w:i/>
        </w:rPr>
        <w:t>Driftskostnader:</w:t>
      </w:r>
    </w:p>
    <w:p w:rsidR="00B14C8B" w:rsidRDefault="00A62683" w:rsidP="00B14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Kostnader til driftsmidler for vitenskapelig ansatte, drift i forbindelse med utdanning og generell drift av senteret, inklusive styre og ledelse, </w:t>
      </w:r>
      <w:r w:rsidR="00B12F4A">
        <w:rPr>
          <w:rFonts w:ascii="Times New Roman" w:hAnsi="Times New Roman"/>
        </w:rPr>
        <w:t>følger samme oppsett som i fjor og er justert i forhold til forventet aktivitet i 201</w:t>
      </w:r>
      <w:r w:rsidR="00770BDA">
        <w:rPr>
          <w:rFonts w:ascii="Times New Roman" w:hAnsi="Times New Roman"/>
        </w:rPr>
        <w:t>9</w:t>
      </w:r>
      <w:r w:rsidR="00EF28F5">
        <w:rPr>
          <w:rFonts w:ascii="Times New Roman" w:hAnsi="Times New Roman"/>
        </w:rPr>
        <w:t>. Merk at tabell 5 også inneholder timelønn</w:t>
      </w:r>
      <w:r w:rsidR="00770BDA">
        <w:rPr>
          <w:rFonts w:ascii="Times New Roman" w:hAnsi="Times New Roman"/>
        </w:rPr>
        <w:t xml:space="preserve"> som inngår i personalkostnader og det derfor er et avvik mellom denne og driftskostnader i tabell 3.</w:t>
      </w:r>
    </w:p>
    <w:p w:rsidR="00770BDA" w:rsidRDefault="00770BDA" w:rsidP="00B14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Kostnader knyttet til </w:t>
      </w:r>
      <w:proofErr w:type="spellStart"/>
      <w:r>
        <w:rPr>
          <w:rFonts w:ascii="Times New Roman" w:hAnsi="Times New Roman"/>
        </w:rPr>
        <w:t>TIKs</w:t>
      </w:r>
      <w:proofErr w:type="spellEnd"/>
      <w:r>
        <w:rPr>
          <w:rFonts w:ascii="Times New Roman" w:hAnsi="Times New Roman"/>
        </w:rPr>
        <w:t xml:space="preserve"> jubileumsfeiring er lagt inn under andre driftstiltak.</w:t>
      </w:r>
    </w:p>
    <w:p w:rsidR="00672FB7" w:rsidRPr="00383751" w:rsidRDefault="00B14C8B" w:rsidP="0038375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Tabell </w:t>
      </w:r>
      <w:r w:rsidR="00383751">
        <w:rPr>
          <w:rFonts w:ascii="Times New Roman" w:hAnsi="Times New Roman"/>
          <w:i/>
        </w:rPr>
        <w:t>5</w:t>
      </w:r>
      <w:r w:rsidR="00AD730E">
        <w:rPr>
          <w:rFonts w:ascii="Times New Roman" w:hAnsi="Times New Roman"/>
          <w:i/>
        </w:rPr>
        <w:t xml:space="preserve">: </w:t>
      </w:r>
      <w:r w:rsidR="00F51F12" w:rsidRPr="00F51F12">
        <w:rPr>
          <w:rFonts w:ascii="Times New Roman" w:hAnsi="Times New Roman"/>
          <w:i/>
        </w:rPr>
        <w:t>Timelønn, driftskostnader og investeringer: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488"/>
        <w:gridCol w:w="1288"/>
        <w:gridCol w:w="1287"/>
        <w:gridCol w:w="1252"/>
      </w:tblGrid>
      <w:tr w:rsidR="00D33B57" w:rsidRPr="00D33B57" w:rsidTr="00D33B57">
        <w:trPr>
          <w:trHeight w:val="315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Kategori 2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Kategori 1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Regnskap 2017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Budsjett 2018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Budsjett 2019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Andre driftstiltak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Faglige tiltak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188 944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350 000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736 000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Formidling og kommunikasjon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2 026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60 000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60 000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Forskningsmidler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Generell drift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319 508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299 000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329 000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Internhusleie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1 191 652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2 142 256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1 940 000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IT og AV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145 588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211 000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210 000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proofErr w:type="spellStart"/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PhD</w:t>
            </w:r>
            <w:proofErr w:type="spellEnd"/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-utdanning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235 578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410 000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330 000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Studenttiltak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39 502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55 000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70 000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Styring og ledelse pott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79 832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100 000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101 000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Andre driftstiltak Total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2 202 629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3 627 256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3 776 000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Personlige forskningsmidler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 xml:space="preserve">Driftsmidler </w:t>
            </w:r>
            <w:proofErr w:type="spellStart"/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postdok</w:t>
            </w:r>
            <w:proofErr w:type="spellEnd"/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49 095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Driftsmidler stipendiat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150 966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120 000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120 000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 xml:space="preserve">Driftsmidler </w:t>
            </w:r>
            <w:proofErr w:type="spellStart"/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vitenskaplig</w:t>
            </w:r>
            <w:proofErr w:type="spellEnd"/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272 063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370 000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230 000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proofErr w:type="spellStart"/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Småforsk</w:t>
            </w:r>
            <w:proofErr w:type="spellEnd"/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185 000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5179" w:type="dxa"/>
            <w:gridSpan w:val="2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Personlige forskningsmidler Total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472 125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695 000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370 000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Undervisning og eksamenstiltak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Eksamen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101 442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35 000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35 000</w:t>
            </w:r>
          </w:p>
        </w:tc>
      </w:tr>
      <w:tr w:rsidR="00D33B57" w:rsidRPr="00D33B57" w:rsidTr="00D33B57">
        <w:trPr>
          <w:trHeight w:val="300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Undervisning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114 040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145 000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color w:val="000000"/>
                <w:sz w:val="20"/>
                <w:szCs w:val="20"/>
                <w:lang w:eastAsia="nn-NO"/>
              </w:rPr>
              <w:t>155 000</w:t>
            </w:r>
          </w:p>
        </w:tc>
      </w:tr>
      <w:tr w:rsidR="00D33B57" w:rsidRPr="00D33B57" w:rsidTr="00D33B57">
        <w:trPr>
          <w:trHeight w:val="315"/>
        </w:trPr>
        <w:tc>
          <w:tcPr>
            <w:tcW w:w="5179" w:type="dxa"/>
            <w:gridSpan w:val="2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Undervisning og eksamenstiltak Total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215 482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180 000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190 000</w:t>
            </w:r>
          </w:p>
        </w:tc>
      </w:tr>
      <w:tr w:rsidR="00D33B57" w:rsidRPr="00D33B57" w:rsidTr="00D33B57">
        <w:trPr>
          <w:trHeight w:val="315"/>
        </w:trPr>
        <w:tc>
          <w:tcPr>
            <w:tcW w:w="2691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Sum</w:t>
            </w:r>
          </w:p>
        </w:tc>
        <w:tc>
          <w:tcPr>
            <w:tcW w:w="24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2 890 236</w:t>
            </w:r>
          </w:p>
        </w:tc>
        <w:tc>
          <w:tcPr>
            <w:tcW w:w="1287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4 502 256</w:t>
            </w:r>
          </w:p>
        </w:tc>
        <w:tc>
          <w:tcPr>
            <w:tcW w:w="1252" w:type="dxa"/>
            <w:noWrap/>
            <w:hideMark/>
          </w:tcPr>
          <w:p w:rsidR="00D33B57" w:rsidRPr="00D33B57" w:rsidRDefault="00D33B57" w:rsidP="00D33B57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D33B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n-NO"/>
              </w:rPr>
              <w:t>4 336 000</w:t>
            </w:r>
          </w:p>
        </w:tc>
      </w:tr>
    </w:tbl>
    <w:p w:rsidR="00CF5F5C" w:rsidRPr="00527382" w:rsidRDefault="00CF5F5C" w:rsidP="00A62683">
      <w:pPr>
        <w:spacing w:after="0"/>
        <w:rPr>
          <w:rFonts w:ascii="Times New Roman" w:hAnsi="Times New Roman"/>
          <w:i/>
        </w:rPr>
      </w:pPr>
    </w:p>
    <w:p w:rsidR="00124FFA" w:rsidRDefault="00124FFA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9B4056" w:rsidRPr="0089185E" w:rsidRDefault="00A74E98" w:rsidP="009B4056">
      <w:pPr>
        <w:rPr>
          <w:rFonts w:ascii="Times New Roman" w:hAnsi="Times New Roman"/>
          <w:b/>
          <w:i/>
        </w:rPr>
      </w:pPr>
      <w:r w:rsidRPr="0089185E">
        <w:rPr>
          <w:rFonts w:ascii="Times New Roman" w:hAnsi="Times New Roman"/>
          <w:b/>
          <w:i/>
        </w:rPr>
        <w:lastRenderedPageBreak/>
        <w:t>Eksternfinansierte prosjekter</w:t>
      </w:r>
      <w:r w:rsidR="00B12F4A" w:rsidRPr="0089185E">
        <w:rPr>
          <w:rFonts w:ascii="Times New Roman" w:hAnsi="Times New Roman"/>
          <w:b/>
          <w:i/>
        </w:rPr>
        <w:t>:</w:t>
      </w:r>
    </w:p>
    <w:p w:rsidR="00E7230A" w:rsidRDefault="00E7230A" w:rsidP="00E723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Eksternfinansierte prosjekter omfatter både rene prosjektrelaterte kostnader og et nettobidrag til </w:t>
      </w:r>
      <w:proofErr w:type="spellStart"/>
      <w:r>
        <w:rPr>
          <w:rFonts w:ascii="Times New Roman" w:hAnsi="Times New Roman"/>
        </w:rPr>
        <w:t>TIKs</w:t>
      </w:r>
      <w:proofErr w:type="spellEnd"/>
      <w:r>
        <w:rPr>
          <w:rFonts w:ascii="Times New Roman" w:hAnsi="Times New Roman"/>
        </w:rPr>
        <w:t xml:space="preserve"> basisfinansierte virksomhet. Nettobidraget består av eksternt frikjøp og ekstern overhead. Eksternt frikjøp betyr at </w:t>
      </w:r>
      <w:proofErr w:type="spellStart"/>
      <w:r>
        <w:rPr>
          <w:rFonts w:ascii="Times New Roman" w:hAnsi="Times New Roman"/>
        </w:rPr>
        <w:t>prosjektfinansiør</w:t>
      </w:r>
      <w:proofErr w:type="spellEnd"/>
      <w:r>
        <w:rPr>
          <w:rFonts w:ascii="Times New Roman" w:hAnsi="Times New Roman"/>
        </w:rPr>
        <w:t xml:space="preserve"> har sagt seg villig til å finansiere</w:t>
      </w:r>
      <w:r w:rsidR="008A0813">
        <w:rPr>
          <w:rFonts w:ascii="Times New Roman" w:hAnsi="Times New Roman"/>
        </w:rPr>
        <w:t xml:space="preserve"> deler av</w:t>
      </w:r>
      <w:r>
        <w:rPr>
          <w:rFonts w:ascii="Times New Roman" w:hAnsi="Times New Roman"/>
        </w:rPr>
        <w:t xml:space="preserve"> lønn</w:t>
      </w:r>
      <w:r w:rsidR="008A0813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TIKs</w:t>
      </w:r>
      <w:proofErr w:type="spellEnd"/>
      <w:r>
        <w:rPr>
          <w:rFonts w:ascii="Times New Roman" w:hAnsi="Times New Roman"/>
        </w:rPr>
        <w:t xml:space="preserve"> ansatte. Ekstern overhead er prosjektmidler satt av til indirekte kostnader som generell administrasjon og drift.</w:t>
      </w:r>
      <w:r w:rsidRPr="00E7230A">
        <w:rPr>
          <w:rFonts w:ascii="Times New Roman" w:hAnsi="Times New Roman"/>
        </w:rPr>
        <w:t xml:space="preserve"> </w:t>
      </w:r>
    </w:p>
    <w:p w:rsidR="007B320B" w:rsidRDefault="007B320B" w:rsidP="00E7230A">
      <w:pPr>
        <w:rPr>
          <w:rFonts w:ascii="Times New Roman" w:hAnsi="Times New Roman"/>
        </w:rPr>
      </w:pPr>
      <w:r>
        <w:rPr>
          <w:rFonts w:ascii="Times New Roman" w:hAnsi="Times New Roman"/>
        </w:rPr>
        <w:t>I tabell 6 vises budsjettert egenandel, intern og ekstern overhead, internt og ekstern frikjøp, samt nettobidrag for nåværende prosjekter i 201</w:t>
      </w:r>
      <w:r w:rsidR="00770BDA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7B320B" w:rsidRDefault="007B320B" w:rsidP="00E723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Ekstern overhead er budsjettert til </w:t>
      </w:r>
      <w:r w:rsidR="00770BDA">
        <w:rPr>
          <w:rFonts w:ascii="Times New Roman" w:hAnsi="Times New Roman"/>
        </w:rPr>
        <w:t>6</w:t>
      </w:r>
      <w:r>
        <w:rPr>
          <w:rFonts w:ascii="Times New Roman" w:hAnsi="Times New Roman"/>
        </w:rPr>
        <w:t> </w:t>
      </w:r>
      <w:r w:rsidR="00770BDA">
        <w:rPr>
          <w:rFonts w:ascii="Times New Roman" w:hAnsi="Times New Roman"/>
        </w:rPr>
        <w:t>179</w:t>
      </w:r>
      <w:r>
        <w:rPr>
          <w:rFonts w:ascii="Times New Roman" w:hAnsi="Times New Roman"/>
        </w:rPr>
        <w:t xml:space="preserve">’, noe som er mer enn tilstrekkelig til å dekke </w:t>
      </w:r>
      <w:r w:rsidR="000D08E9">
        <w:rPr>
          <w:rFonts w:ascii="Times New Roman" w:hAnsi="Times New Roman"/>
        </w:rPr>
        <w:t>kostnadene</w:t>
      </w:r>
      <w:r w:rsidR="00770BDA">
        <w:rPr>
          <w:rFonts w:ascii="Times New Roman" w:hAnsi="Times New Roman"/>
        </w:rPr>
        <w:t xml:space="preserve"> for </w:t>
      </w:r>
      <w:proofErr w:type="spellStart"/>
      <w:r w:rsidR="00770BDA">
        <w:rPr>
          <w:rFonts w:ascii="Times New Roman" w:hAnsi="Times New Roman"/>
        </w:rPr>
        <w:t>TIKs</w:t>
      </w:r>
      <w:proofErr w:type="spellEnd"/>
      <w:r w:rsidR="00770BDA">
        <w:rPr>
          <w:rFonts w:ascii="Times New Roman" w:hAnsi="Times New Roman"/>
        </w:rPr>
        <w:t xml:space="preserve"> administrasjon.</w:t>
      </w:r>
    </w:p>
    <w:p w:rsidR="00C25CCD" w:rsidRDefault="00AD730E" w:rsidP="007A20CF">
      <w:pPr>
        <w:spacing w:after="0"/>
        <w:rPr>
          <w:rFonts w:ascii="Times New Roman" w:hAnsi="Times New Roman"/>
          <w:i/>
        </w:rPr>
      </w:pPr>
      <w:r w:rsidRPr="00AD730E">
        <w:rPr>
          <w:rFonts w:ascii="Times New Roman" w:hAnsi="Times New Roman"/>
          <w:i/>
        </w:rPr>
        <w:t xml:space="preserve">Tabell </w:t>
      </w:r>
      <w:r w:rsidR="007B320B">
        <w:rPr>
          <w:rFonts w:ascii="Times New Roman" w:hAnsi="Times New Roman"/>
          <w:i/>
        </w:rPr>
        <w:t>6</w:t>
      </w:r>
      <w:r w:rsidRPr="00AD730E">
        <w:rPr>
          <w:rFonts w:ascii="Times New Roman" w:hAnsi="Times New Roman"/>
          <w:i/>
        </w:rPr>
        <w:t xml:space="preserve">: </w:t>
      </w:r>
      <w:r w:rsidR="007B320B">
        <w:rPr>
          <w:rFonts w:ascii="Times New Roman" w:hAnsi="Times New Roman"/>
          <w:i/>
        </w:rPr>
        <w:t>Detaljert</w:t>
      </w:r>
      <w:r w:rsidR="00505199" w:rsidRPr="00AD730E">
        <w:rPr>
          <w:rFonts w:ascii="Times New Roman" w:hAnsi="Times New Roman"/>
          <w:i/>
        </w:rPr>
        <w:t xml:space="preserve"> nettobidrag </w:t>
      </w:r>
      <w:r w:rsidR="007B320B">
        <w:rPr>
          <w:rFonts w:ascii="Times New Roman" w:hAnsi="Times New Roman"/>
          <w:i/>
        </w:rPr>
        <w:t xml:space="preserve">for </w:t>
      </w:r>
      <w:r w:rsidR="007A20CF" w:rsidRPr="00AD730E">
        <w:rPr>
          <w:rFonts w:ascii="Times New Roman" w:hAnsi="Times New Roman"/>
          <w:i/>
        </w:rPr>
        <w:t>eksternfinans</w:t>
      </w:r>
      <w:r w:rsidR="00E7230A">
        <w:rPr>
          <w:rFonts w:ascii="Times New Roman" w:hAnsi="Times New Roman"/>
          <w:i/>
        </w:rPr>
        <w:t>i</w:t>
      </w:r>
      <w:r w:rsidR="007A20CF" w:rsidRPr="00AD730E">
        <w:rPr>
          <w:rFonts w:ascii="Times New Roman" w:hAnsi="Times New Roman"/>
          <w:i/>
        </w:rPr>
        <w:t>erte</w:t>
      </w:r>
      <w:r w:rsidR="00615190">
        <w:rPr>
          <w:rFonts w:ascii="Times New Roman" w:hAnsi="Times New Roman"/>
          <w:i/>
        </w:rPr>
        <w:t xml:space="preserve"> prosjekter</w:t>
      </w:r>
      <w:r w:rsidR="00505199" w:rsidRPr="00AD730E">
        <w:rPr>
          <w:rFonts w:ascii="Times New Roman" w:hAnsi="Times New Roman"/>
          <w:i/>
        </w:rPr>
        <w:t xml:space="preserve"> i 201</w:t>
      </w:r>
      <w:r w:rsidR="005363C1">
        <w:rPr>
          <w:rFonts w:ascii="Times New Roman" w:hAnsi="Times New Roman"/>
          <w:i/>
        </w:rPr>
        <w:t>9</w:t>
      </w:r>
      <w:r w:rsidR="00505199" w:rsidRPr="00AD730E">
        <w:rPr>
          <w:rFonts w:ascii="Times New Roman" w:hAnsi="Times New Roman"/>
          <w:i/>
        </w:rPr>
        <w:t xml:space="preserve">. </w:t>
      </w:r>
    </w:p>
    <w:p w:rsidR="007248D9" w:rsidRDefault="007248D9" w:rsidP="007A20CF">
      <w:pPr>
        <w:spacing w:after="0"/>
        <w:rPr>
          <w:rFonts w:ascii="Times New Roman" w:hAnsi="Times New Roman"/>
          <w:i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134"/>
        <w:gridCol w:w="992"/>
        <w:gridCol w:w="993"/>
        <w:gridCol w:w="992"/>
        <w:gridCol w:w="992"/>
        <w:gridCol w:w="1134"/>
      </w:tblGrid>
      <w:tr w:rsidR="005363C1" w:rsidRPr="005363C1" w:rsidTr="005363C1">
        <w:trPr>
          <w:trHeight w:val="5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Prosjekt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Egenandel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Eksternt frikjøp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Internt frikjøp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Ekstern overhead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Intern overhead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144147 243994/E20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InGrid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- Integration of Power Transmission Grids - Prospects 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-240 961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388 007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390 127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240 961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778 134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144194 247921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Responsible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innovation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and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happiness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-635 226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217 067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116 205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426 183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519 021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643 249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144303 256240/O30 OSIRIS - Oslo Institute for Research on the Impact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-2 703 354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1 300 569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1 310 809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319 442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1 392 545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1 620 011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144486 239002/O70 -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ReDig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-46 736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93 100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42 062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46 736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135 162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144509 267951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ReNewGrowth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- Conditions for growth in renewable energy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-321 443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131 920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594 670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321 443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726 590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144700 280963 GLOBOIL - The Norwegian oil and gas supply 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-410 027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514 922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90 576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855 037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319 451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1 369 959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190586 209697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CenSES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-444 949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108 533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162 142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17 328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282 807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125 861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190697 255430 - Transforming household mobility practices through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65 268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438 938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504 206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190737 270912 -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Infradata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-34 579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172 894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53 597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34 579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226 491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190743 RESPUBLICA - Responsibility, practice and the public good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159 544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493 065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652 609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205439 Offentlig-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ph.d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. (KD)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47 375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47 375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205440 Offentlig-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ph.d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. (KD-Skogen)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195 500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195 500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212004 NAV-forsker OSIRIS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392 747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392 747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429999 Budsjettering; prosjektserie 420000 - 429998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307 200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461305 Sustainable path creation for innovative value chains for organic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-421 002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653 377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664 741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421 002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1 318 118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461439 268466/E20 -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Greenfleet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-136 725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199 376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136 725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321 452</w:t>
            </w:r>
          </w:p>
        </w:tc>
      </w:tr>
      <w:tr w:rsidR="005363C1" w:rsidRPr="005363C1" w:rsidTr="005363C1">
        <w:trPr>
          <w:trHeight w:val="52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461469 257639 </w:t>
            </w:r>
            <w:proofErr w:type="spellStart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>Susoltech</w:t>
            </w:r>
            <w:proofErr w:type="spellEnd"/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FME - Research Centre for Sustainable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-210 716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252 859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210 716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252 859</w:t>
            </w:r>
          </w:p>
        </w:tc>
      </w:tr>
      <w:tr w:rsidR="005363C1" w:rsidRPr="005363C1" w:rsidTr="005363C1">
        <w:trPr>
          <w:trHeight w:val="300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651017 Little Tools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-366 300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586 080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293 040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442 207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73 260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1 028 287</w:t>
            </w:r>
          </w:p>
        </w:tc>
      </w:tr>
      <w:tr w:rsidR="005363C1" w:rsidRPr="005363C1" w:rsidTr="005363C1">
        <w:trPr>
          <w:trHeight w:val="315"/>
        </w:trPr>
        <w:tc>
          <w:tcPr>
            <w:tcW w:w="3534" w:type="dxa"/>
            <w:tcBorders>
              <w:top w:val="single" w:sz="4" w:space="0" w:color="D9D9D9"/>
              <w:left w:val="single" w:sz="8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659999 Budsjettering; prosjektserie 640000 - 659999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87 749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124 220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211 970</w:t>
            </w:r>
          </w:p>
        </w:tc>
      </w:tr>
      <w:tr w:rsidR="005363C1" w:rsidRPr="005363C1" w:rsidTr="005363C1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-5 972 018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4 678 406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1 972 772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6 179 375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b/>
                <w:bCs/>
                <w:sz w:val="20"/>
                <w:szCs w:val="20"/>
                <w:lang w:eastAsia="nb-NO"/>
              </w:rPr>
              <w:t>3 999 246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C1" w:rsidRPr="005363C1" w:rsidRDefault="005363C1" w:rsidP="005363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5363C1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10 857 781</w:t>
            </w:r>
          </w:p>
        </w:tc>
      </w:tr>
    </w:tbl>
    <w:p w:rsidR="00AC76FE" w:rsidRDefault="00AC76FE" w:rsidP="0089185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F2CDE" w:rsidRPr="0089185E" w:rsidRDefault="002D06FE" w:rsidP="0089185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9185E">
        <w:rPr>
          <w:rFonts w:ascii="Times New Roman" w:hAnsi="Times New Roman"/>
          <w:b/>
          <w:sz w:val="28"/>
          <w:szCs w:val="28"/>
        </w:rPr>
        <w:t>Samlet</w:t>
      </w:r>
      <w:r w:rsidR="00615190" w:rsidRPr="0089185E">
        <w:rPr>
          <w:rFonts w:ascii="Times New Roman" w:hAnsi="Times New Roman"/>
          <w:b/>
          <w:sz w:val="28"/>
          <w:szCs w:val="28"/>
        </w:rPr>
        <w:t xml:space="preserve"> virksomhet</w:t>
      </w:r>
      <w:r w:rsidR="0089185E" w:rsidRPr="0089185E">
        <w:rPr>
          <w:rFonts w:ascii="Times New Roman" w:hAnsi="Times New Roman"/>
          <w:b/>
          <w:sz w:val="28"/>
          <w:szCs w:val="28"/>
        </w:rPr>
        <w:t>;</w:t>
      </w:r>
      <w:r w:rsidRPr="0089185E">
        <w:rPr>
          <w:rFonts w:ascii="Times New Roman" w:hAnsi="Times New Roman"/>
          <w:b/>
          <w:sz w:val="28"/>
          <w:szCs w:val="28"/>
        </w:rPr>
        <w:t xml:space="preserve"> basisøkonomi og eksternfinansierte prosjekter.</w:t>
      </w:r>
    </w:p>
    <w:p w:rsidR="00615190" w:rsidRDefault="00615190" w:rsidP="004C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tillegg til å bidra med nettobidrag til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basisøkonomi, direkte</w:t>
      </w:r>
      <w:r w:rsidR="00BD5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finansierer de eksterne prosjektene egne stillinger og driftskostnader. Det er budsjettert med en brutto inntekt fra eksternfinansier</w:t>
      </w:r>
      <w:r w:rsidR="002C59D7">
        <w:rPr>
          <w:rFonts w:ascii="Times New Roman" w:hAnsi="Times New Roman"/>
          <w:sz w:val="24"/>
          <w:szCs w:val="24"/>
        </w:rPr>
        <w:t xml:space="preserve">te prosjekter på </w:t>
      </w:r>
      <w:r w:rsidR="00D81145">
        <w:rPr>
          <w:rFonts w:ascii="Times New Roman" w:hAnsi="Times New Roman"/>
          <w:sz w:val="24"/>
          <w:szCs w:val="24"/>
        </w:rPr>
        <w:t>29 942</w:t>
      </w:r>
      <w:r w:rsidR="009D0B88">
        <w:rPr>
          <w:rFonts w:ascii="Times New Roman" w:hAnsi="Times New Roman"/>
          <w:sz w:val="24"/>
          <w:szCs w:val="24"/>
        </w:rPr>
        <w:t xml:space="preserve"> </w:t>
      </w:r>
      <w:r w:rsidR="002C59D7">
        <w:rPr>
          <w:rFonts w:ascii="Times New Roman" w:hAnsi="Times New Roman"/>
          <w:sz w:val="24"/>
          <w:szCs w:val="24"/>
        </w:rPr>
        <w:t>i 201</w:t>
      </w:r>
      <w:r w:rsidR="00D81145">
        <w:rPr>
          <w:rFonts w:ascii="Times New Roman" w:hAnsi="Times New Roman"/>
          <w:sz w:val="24"/>
          <w:szCs w:val="24"/>
        </w:rPr>
        <w:t>9</w:t>
      </w:r>
      <w:r w:rsidR="002C59D7">
        <w:rPr>
          <w:rFonts w:ascii="Times New Roman" w:hAnsi="Times New Roman"/>
          <w:sz w:val="24"/>
          <w:szCs w:val="24"/>
        </w:rPr>
        <w:t>. Dette utgjør</w:t>
      </w:r>
      <w:r w:rsidR="009D0B88">
        <w:rPr>
          <w:rFonts w:ascii="Times New Roman" w:hAnsi="Times New Roman"/>
          <w:sz w:val="24"/>
          <w:szCs w:val="24"/>
        </w:rPr>
        <w:t xml:space="preserve"> </w:t>
      </w:r>
      <w:r w:rsidR="00D81145">
        <w:rPr>
          <w:rFonts w:ascii="Times New Roman" w:hAnsi="Times New Roman"/>
          <w:sz w:val="24"/>
          <w:szCs w:val="24"/>
        </w:rPr>
        <w:t>67</w:t>
      </w:r>
      <w:r w:rsidR="002C59D7">
        <w:rPr>
          <w:rFonts w:ascii="Times New Roman" w:hAnsi="Times New Roman"/>
          <w:sz w:val="24"/>
          <w:szCs w:val="24"/>
        </w:rPr>
        <w:t xml:space="preserve"> % av </w:t>
      </w:r>
      <w:proofErr w:type="spellStart"/>
      <w:r w:rsidR="002C59D7">
        <w:rPr>
          <w:rFonts w:ascii="Times New Roman" w:hAnsi="Times New Roman"/>
          <w:sz w:val="24"/>
          <w:szCs w:val="24"/>
        </w:rPr>
        <w:t>TIKs</w:t>
      </w:r>
      <w:proofErr w:type="spellEnd"/>
      <w:r w:rsidR="002C59D7">
        <w:rPr>
          <w:rFonts w:ascii="Times New Roman" w:hAnsi="Times New Roman"/>
          <w:sz w:val="24"/>
          <w:szCs w:val="24"/>
        </w:rPr>
        <w:t xml:space="preserve"> totale virksomhet.</w:t>
      </w:r>
      <w:r>
        <w:rPr>
          <w:rFonts w:ascii="Times New Roman" w:hAnsi="Times New Roman"/>
          <w:sz w:val="24"/>
          <w:szCs w:val="24"/>
        </w:rPr>
        <w:t xml:space="preserve"> </w:t>
      </w:r>
      <w:r w:rsidR="002C59D7">
        <w:rPr>
          <w:rFonts w:ascii="Times New Roman" w:hAnsi="Times New Roman"/>
          <w:sz w:val="24"/>
          <w:szCs w:val="24"/>
        </w:rPr>
        <w:t xml:space="preserve">Driftskostnadene summerer seg til </w:t>
      </w:r>
      <w:r w:rsidR="00D81145">
        <w:rPr>
          <w:rFonts w:ascii="Times New Roman" w:hAnsi="Times New Roman"/>
          <w:sz w:val="24"/>
          <w:szCs w:val="24"/>
        </w:rPr>
        <w:t>5 050</w:t>
      </w:r>
      <w:r w:rsidR="008E1385">
        <w:rPr>
          <w:rFonts w:ascii="Times New Roman" w:hAnsi="Times New Roman"/>
          <w:sz w:val="24"/>
          <w:szCs w:val="24"/>
        </w:rPr>
        <w:t>’</w:t>
      </w:r>
      <w:r w:rsidR="002C59D7">
        <w:rPr>
          <w:rFonts w:ascii="Times New Roman" w:hAnsi="Times New Roman"/>
          <w:sz w:val="24"/>
          <w:szCs w:val="24"/>
        </w:rPr>
        <w:t xml:space="preserve"> eller </w:t>
      </w:r>
      <w:r w:rsidR="00D81145">
        <w:rPr>
          <w:rFonts w:ascii="Times New Roman" w:hAnsi="Times New Roman"/>
          <w:sz w:val="24"/>
          <w:szCs w:val="24"/>
        </w:rPr>
        <w:t>58</w:t>
      </w:r>
      <w:r w:rsidR="009D0B88">
        <w:rPr>
          <w:rFonts w:ascii="Times New Roman" w:hAnsi="Times New Roman"/>
          <w:sz w:val="24"/>
          <w:szCs w:val="24"/>
        </w:rPr>
        <w:t xml:space="preserve"> </w:t>
      </w:r>
      <w:r w:rsidR="002C59D7">
        <w:rPr>
          <w:rFonts w:ascii="Times New Roman" w:hAnsi="Times New Roman"/>
          <w:sz w:val="24"/>
          <w:szCs w:val="24"/>
        </w:rPr>
        <w:t xml:space="preserve">% av totale driftskostnader. </w:t>
      </w:r>
    </w:p>
    <w:p w:rsidR="000D08E9" w:rsidRPr="00383751" w:rsidRDefault="000D08E9" w:rsidP="000D08E9">
      <w:pPr>
        <w:pStyle w:val="Caption"/>
        <w:keepNext/>
        <w:spacing w:after="0" w:line="360" w:lineRule="auto"/>
        <w:rPr>
          <w:rFonts w:ascii="Times New Roman" w:hAnsi="Times New Roman"/>
          <w:b w:val="0"/>
          <w:i/>
          <w:sz w:val="22"/>
          <w:szCs w:val="22"/>
        </w:rPr>
      </w:pPr>
      <w:r w:rsidRPr="00D23A9F">
        <w:rPr>
          <w:rFonts w:ascii="Times New Roman" w:hAnsi="Times New Roman"/>
          <w:b w:val="0"/>
          <w:i/>
          <w:sz w:val="22"/>
          <w:szCs w:val="22"/>
        </w:rPr>
        <w:t xml:space="preserve">Tabell </w:t>
      </w:r>
      <w:r>
        <w:rPr>
          <w:rFonts w:ascii="Times New Roman" w:hAnsi="Times New Roman"/>
          <w:b w:val="0"/>
          <w:i/>
          <w:sz w:val="22"/>
          <w:szCs w:val="22"/>
        </w:rPr>
        <w:t>7</w:t>
      </w:r>
      <w:r w:rsidRPr="00D23A9F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>
        <w:rPr>
          <w:rFonts w:ascii="Times New Roman" w:hAnsi="Times New Roman"/>
          <w:b w:val="0"/>
          <w:i/>
          <w:sz w:val="22"/>
          <w:szCs w:val="22"/>
        </w:rPr>
        <w:t>Årsverk, direkte finansiert fra eksterne prosjekter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</w:tblGrid>
      <w:tr w:rsidR="000D08E9" w:rsidRPr="005528DE" w:rsidTr="005528DE">
        <w:tc>
          <w:tcPr>
            <w:tcW w:w="2977" w:type="dxa"/>
            <w:shd w:val="clear" w:color="auto" w:fill="auto"/>
          </w:tcPr>
          <w:p w:rsidR="000D08E9" w:rsidRPr="005528DE" w:rsidRDefault="000D08E9" w:rsidP="005528DE">
            <w:pPr>
              <w:rPr>
                <w:rFonts w:ascii="Times New Roman" w:hAnsi="Times New Roman"/>
                <w:b/>
              </w:rPr>
            </w:pPr>
            <w:r w:rsidRPr="005528DE">
              <w:rPr>
                <w:rFonts w:ascii="Times New Roman" w:hAnsi="Times New Roman"/>
                <w:b/>
              </w:rPr>
              <w:t>STILLING</w:t>
            </w:r>
          </w:p>
        </w:tc>
        <w:tc>
          <w:tcPr>
            <w:tcW w:w="1418" w:type="dxa"/>
            <w:shd w:val="clear" w:color="auto" w:fill="auto"/>
          </w:tcPr>
          <w:p w:rsidR="000D08E9" w:rsidRPr="005528DE" w:rsidRDefault="000D08E9" w:rsidP="005528DE">
            <w:pPr>
              <w:rPr>
                <w:rFonts w:ascii="Times New Roman" w:hAnsi="Times New Roman"/>
                <w:b/>
              </w:rPr>
            </w:pPr>
            <w:r w:rsidRPr="005528DE">
              <w:rPr>
                <w:rFonts w:ascii="Times New Roman" w:hAnsi="Times New Roman"/>
                <w:b/>
              </w:rPr>
              <w:t>ÅRSVERK</w:t>
            </w:r>
          </w:p>
        </w:tc>
      </w:tr>
      <w:tr w:rsidR="000D08E9" w:rsidRPr="005528DE" w:rsidTr="005528DE">
        <w:tc>
          <w:tcPr>
            <w:tcW w:w="2977" w:type="dxa"/>
            <w:shd w:val="clear" w:color="auto" w:fill="auto"/>
          </w:tcPr>
          <w:p w:rsidR="000D08E9" w:rsidRPr="005528DE" w:rsidRDefault="001E7536" w:rsidP="000D0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Forskere (5</w:t>
            </w:r>
            <w:r w:rsidR="000D08E9" w:rsidRPr="005528DE">
              <w:rPr>
                <w:rFonts w:ascii="Times New Roman" w:hAnsi="Times New Roman"/>
              </w:rPr>
              <w:t xml:space="preserve"> stillinger)</w:t>
            </w:r>
          </w:p>
        </w:tc>
        <w:tc>
          <w:tcPr>
            <w:tcW w:w="1418" w:type="dxa"/>
            <w:shd w:val="clear" w:color="auto" w:fill="auto"/>
          </w:tcPr>
          <w:p w:rsidR="000D08E9" w:rsidRPr="005528DE" w:rsidRDefault="001E7536" w:rsidP="00552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223B3">
              <w:rPr>
                <w:rFonts w:ascii="Times New Roman" w:hAnsi="Times New Roman"/>
              </w:rPr>
              <w:t>,3</w:t>
            </w:r>
          </w:p>
        </w:tc>
      </w:tr>
      <w:tr w:rsidR="000D08E9" w:rsidRPr="005528DE" w:rsidTr="005528DE">
        <w:tc>
          <w:tcPr>
            <w:tcW w:w="2977" w:type="dxa"/>
            <w:shd w:val="clear" w:color="auto" w:fill="auto"/>
          </w:tcPr>
          <w:p w:rsidR="000D08E9" w:rsidRPr="005528DE" w:rsidRDefault="000D08E9" w:rsidP="005528DE">
            <w:pPr>
              <w:rPr>
                <w:rFonts w:ascii="Times New Roman" w:hAnsi="Times New Roman"/>
              </w:rPr>
            </w:pPr>
            <w:proofErr w:type="spellStart"/>
            <w:r w:rsidRPr="005528DE">
              <w:rPr>
                <w:rFonts w:ascii="Times New Roman" w:hAnsi="Times New Roman"/>
              </w:rPr>
              <w:t>Postdoc</w:t>
            </w:r>
            <w:proofErr w:type="spellEnd"/>
            <w:r w:rsidRPr="005528DE">
              <w:rPr>
                <w:rFonts w:ascii="Times New Roman" w:hAnsi="Times New Roman"/>
              </w:rPr>
              <w:t xml:space="preserve"> </w:t>
            </w:r>
            <w:r w:rsidR="00033F9F">
              <w:rPr>
                <w:rFonts w:ascii="Times New Roman" w:hAnsi="Times New Roman"/>
              </w:rPr>
              <w:t>(8</w:t>
            </w:r>
            <w:r w:rsidR="001E7536">
              <w:rPr>
                <w:rFonts w:ascii="Times New Roman" w:hAnsi="Times New Roman"/>
              </w:rPr>
              <w:t xml:space="preserve"> stillinger)</w:t>
            </w:r>
          </w:p>
        </w:tc>
        <w:tc>
          <w:tcPr>
            <w:tcW w:w="1418" w:type="dxa"/>
            <w:shd w:val="clear" w:color="auto" w:fill="auto"/>
          </w:tcPr>
          <w:p w:rsidR="00033F9F" w:rsidRPr="005528DE" w:rsidRDefault="00A92645" w:rsidP="00552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0D08E9" w:rsidRPr="005528DE" w:rsidTr="005528DE">
        <w:tc>
          <w:tcPr>
            <w:tcW w:w="2977" w:type="dxa"/>
            <w:shd w:val="clear" w:color="auto" w:fill="auto"/>
          </w:tcPr>
          <w:p w:rsidR="000D08E9" w:rsidRPr="005528DE" w:rsidRDefault="000D08E9" w:rsidP="005528DE">
            <w:pPr>
              <w:rPr>
                <w:rFonts w:ascii="Times New Roman" w:hAnsi="Times New Roman"/>
              </w:rPr>
            </w:pPr>
            <w:proofErr w:type="spellStart"/>
            <w:r w:rsidRPr="005528DE">
              <w:rPr>
                <w:rFonts w:ascii="Times New Roman" w:hAnsi="Times New Roman"/>
              </w:rPr>
              <w:t>PhD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D08E9" w:rsidRPr="005528DE" w:rsidRDefault="00D81145" w:rsidP="000D0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92645">
              <w:rPr>
                <w:rFonts w:ascii="Times New Roman" w:hAnsi="Times New Roman"/>
              </w:rPr>
              <w:t>,8</w:t>
            </w:r>
          </w:p>
        </w:tc>
      </w:tr>
      <w:tr w:rsidR="000D08E9" w:rsidRPr="005528DE" w:rsidTr="005528DE">
        <w:tc>
          <w:tcPr>
            <w:tcW w:w="2977" w:type="dxa"/>
            <w:shd w:val="clear" w:color="auto" w:fill="auto"/>
          </w:tcPr>
          <w:p w:rsidR="000D08E9" w:rsidRPr="005528DE" w:rsidRDefault="000D08E9" w:rsidP="005528DE">
            <w:pPr>
              <w:rPr>
                <w:rFonts w:ascii="Times New Roman" w:hAnsi="Times New Roman"/>
              </w:rPr>
            </w:pPr>
            <w:r w:rsidRPr="005528DE">
              <w:rPr>
                <w:rFonts w:ascii="Times New Roman" w:hAnsi="Times New Roman"/>
              </w:rPr>
              <w:t>Administrasjon/koordinering</w:t>
            </w:r>
          </w:p>
        </w:tc>
        <w:tc>
          <w:tcPr>
            <w:tcW w:w="1418" w:type="dxa"/>
            <w:shd w:val="clear" w:color="auto" w:fill="auto"/>
          </w:tcPr>
          <w:p w:rsidR="000D08E9" w:rsidRPr="005528DE" w:rsidRDefault="001E7536" w:rsidP="00552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D08E9" w:rsidRPr="005528DE">
              <w:rPr>
                <w:rFonts w:ascii="Times New Roman" w:hAnsi="Times New Roman"/>
              </w:rPr>
              <w:t>3</w:t>
            </w:r>
          </w:p>
        </w:tc>
      </w:tr>
      <w:tr w:rsidR="000D08E9" w:rsidRPr="005528DE" w:rsidTr="005528DE">
        <w:tc>
          <w:tcPr>
            <w:tcW w:w="2977" w:type="dxa"/>
            <w:shd w:val="clear" w:color="auto" w:fill="auto"/>
          </w:tcPr>
          <w:p w:rsidR="000D08E9" w:rsidRPr="005528DE" w:rsidRDefault="000D08E9" w:rsidP="005528DE">
            <w:pPr>
              <w:rPr>
                <w:rFonts w:ascii="Times New Roman" w:hAnsi="Times New Roman"/>
                <w:b/>
              </w:rPr>
            </w:pPr>
            <w:r w:rsidRPr="005528DE">
              <w:rPr>
                <w:rFonts w:ascii="Times New Roman" w:hAnsi="Times New Roman"/>
                <w:b/>
              </w:rPr>
              <w:t>SUM</w:t>
            </w:r>
          </w:p>
        </w:tc>
        <w:tc>
          <w:tcPr>
            <w:tcW w:w="1418" w:type="dxa"/>
            <w:shd w:val="clear" w:color="auto" w:fill="auto"/>
          </w:tcPr>
          <w:p w:rsidR="00033F9F" w:rsidRPr="005528DE" w:rsidRDefault="00B223B3" w:rsidP="005528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20,7</w:t>
            </w:r>
          </w:p>
        </w:tc>
      </w:tr>
    </w:tbl>
    <w:p w:rsidR="008E1385" w:rsidRDefault="002C59D7" w:rsidP="002C5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tillegg er det budsjettert med eksternt frikjøp av basisstillinger på </w:t>
      </w:r>
      <w:r w:rsidR="00397EE2">
        <w:rPr>
          <w:rFonts w:ascii="Times New Roman" w:hAnsi="Times New Roman"/>
          <w:sz w:val="24"/>
          <w:szCs w:val="24"/>
        </w:rPr>
        <w:t>4 678</w:t>
      </w:r>
      <w:r>
        <w:rPr>
          <w:rFonts w:ascii="Times New Roman" w:hAnsi="Times New Roman"/>
          <w:sz w:val="24"/>
          <w:szCs w:val="24"/>
        </w:rPr>
        <w:t>, slik at</w:t>
      </w:r>
      <w:r w:rsidR="00397EE2">
        <w:rPr>
          <w:rFonts w:ascii="Times New Roman" w:hAnsi="Times New Roman"/>
          <w:sz w:val="24"/>
          <w:szCs w:val="24"/>
        </w:rPr>
        <w:t xml:space="preserve"> 53</w:t>
      </w:r>
      <w:r w:rsidR="008E1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av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personalkostnader er eksternfinansiert</w:t>
      </w:r>
      <w:r w:rsidR="00385688">
        <w:rPr>
          <w:rFonts w:ascii="Times New Roman" w:hAnsi="Times New Roman"/>
          <w:sz w:val="24"/>
          <w:szCs w:val="24"/>
        </w:rPr>
        <w:t>e</w:t>
      </w:r>
      <w:r w:rsidR="001B1360">
        <w:rPr>
          <w:rFonts w:ascii="Times New Roman" w:hAnsi="Times New Roman"/>
          <w:sz w:val="24"/>
          <w:szCs w:val="24"/>
        </w:rPr>
        <w:t>.</w:t>
      </w:r>
      <w:r w:rsidR="00397EE2">
        <w:rPr>
          <w:rFonts w:ascii="Times New Roman" w:hAnsi="Times New Roman"/>
          <w:sz w:val="24"/>
          <w:szCs w:val="24"/>
        </w:rPr>
        <w:t xml:space="preserve"> Stillinger finansiert av støtte fra andre enheter ved UiO er ikke tatt med.</w:t>
      </w:r>
    </w:p>
    <w:p w:rsidR="00AC76FE" w:rsidRDefault="00BD5B70" w:rsidP="00397EE2">
      <w:pPr>
        <w:spacing w:after="0"/>
        <w:rPr>
          <w:rFonts w:ascii="Times New Roman" w:hAnsi="Times New Roman"/>
          <w:i/>
        </w:rPr>
      </w:pPr>
      <w:r w:rsidRPr="00AD730E">
        <w:rPr>
          <w:rFonts w:ascii="Times New Roman" w:hAnsi="Times New Roman"/>
          <w:i/>
        </w:rPr>
        <w:t xml:space="preserve">Tabell </w:t>
      </w:r>
      <w:r w:rsidR="000D08E9">
        <w:rPr>
          <w:rFonts w:ascii="Times New Roman" w:hAnsi="Times New Roman"/>
          <w:i/>
        </w:rPr>
        <w:t>8</w:t>
      </w:r>
      <w:r w:rsidRPr="00AD730E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 xml:space="preserve">Totalvirksomhet </w:t>
      </w:r>
      <w:r w:rsidRPr="00AD730E">
        <w:rPr>
          <w:rFonts w:ascii="Times New Roman" w:hAnsi="Times New Roman"/>
          <w:i/>
        </w:rPr>
        <w:t xml:space="preserve"> 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00"/>
        <w:gridCol w:w="1400"/>
        <w:gridCol w:w="1400"/>
        <w:gridCol w:w="1360"/>
      </w:tblGrid>
      <w:tr w:rsidR="00397EE2" w:rsidRPr="00397EE2" w:rsidTr="00397EE2">
        <w:trPr>
          <w:trHeight w:val="390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Totalvirksomhet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Regnskap 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Budsjett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Prognose 2018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-13 045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-14 181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-12 435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-14 181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Andre UiO-inntekter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-1 158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-2 638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-2 161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326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Disponerte eksterne midler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-20 330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-26 555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-29 942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-24 872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24 586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34 619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35 608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30 124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7 179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8 718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5 249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</w:tr>
      <w:tr w:rsidR="00397EE2" w:rsidRPr="00397EE2" w:rsidTr="00397EE2">
        <w:trPr>
          <w:trHeight w:val="46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-6 074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-1 436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-3 143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336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-6 092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-1 100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-3 143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-3 297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-9 389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-12 533</w:t>
            </w:r>
          </w:p>
        </w:tc>
      </w:tr>
    </w:tbl>
    <w:p w:rsidR="00397EE2" w:rsidRPr="00397EE2" w:rsidRDefault="00397EE2" w:rsidP="00397EE2">
      <w:pPr>
        <w:spacing w:after="0"/>
        <w:rPr>
          <w:rFonts w:ascii="Times New Roman" w:hAnsi="Times New Roman"/>
          <w:i/>
        </w:rPr>
      </w:pPr>
    </w:p>
    <w:p w:rsidR="00397EE2" w:rsidRDefault="00397E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5190" w:rsidRPr="0089185E" w:rsidRDefault="00615190" w:rsidP="004C584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9185E">
        <w:rPr>
          <w:rFonts w:ascii="Times New Roman" w:hAnsi="Times New Roman"/>
          <w:b/>
          <w:sz w:val="28"/>
          <w:szCs w:val="28"/>
        </w:rPr>
        <w:lastRenderedPageBreak/>
        <w:t>Usikkerhet i budsjettet for 201</w:t>
      </w:r>
      <w:r w:rsidR="00266D57">
        <w:rPr>
          <w:rFonts w:ascii="Times New Roman" w:hAnsi="Times New Roman"/>
          <w:b/>
          <w:sz w:val="28"/>
          <w:szCs w:val="28"/>
        </w:rPr>
        <w:t>8</w:t>
      </w:r>
    </w:p>
    <w:p w:rsidR="00AC76FE" w:rsidRDefault="00266D57" w:rsidP="00D25C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Det endelige årsregnskapet og årsresultatet for 201</w:t>
      </w:r>
      <w:r w:rsidR="00397EE2">
        <w:rPr>
          <w:rFonts w:ascii="Times New Roman" w:eastAsia="Times New Roman" w:hAnsi="Times New Roman"/>
          <w:sz w:val="24"/>
          <w:szCs w:val="24"/>
          <w:lang w:eastAsia="nb-NO"/>
        </w:rPr>
        <w:t>8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vil først være klart i februar 201</w:t>
      </w:r>
      <w:r w:rsidR="00397EE2">
        <w:rPr>
          <w:rFonts w:ascii="Times New Roman" w:eastAsia="Times New Roman" w:hAnsi="Times New Roman"/>
          <w:sz w:val="24"/>
          <w:szCs w:val="24"/>
          <w:lang w:eastAsia="nb-NO"/>
        </w:rPr>
        <w:t>9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, og vi må ta forbehold om eventuelle avvik som påvirker årsresultatet og det akkumulerte overskuddet.</w:t>
      </w:r>
    </w:p>
    <w:p w:rsidR="00521A4D" w:rsidRDefault="00521A4D" w:rsidP="00D25C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Det er også usikkerhet rundt refusjoner for lovpålagte permisjoner og sykmeldinger. Her har vi som i tidligere år lagt oss på et nøkternt nivå. Tilsvarende er det noe usikkerhet rundt ekstrakostnader i forbindelse med permisjoner og forlengelser for stipendiater og postdoktorer.</w:t>
      </w:r>
    </w:p>
    <w:p w:rsidR="00521A4D" w:rsidRPr="00266D57" w:rsidRDefault="00521A4D" w:rsidP="00D25C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Nettobidraget fra eksterne prosjekter for 201</w:t>
      </w:r>
      <w:r w:rsidR="00397EE2">
        <w:rPr>
          <w:rFonts w:ascii="Times New Roman" w:eastAsia="Times New Roman" w:hAnsi="Times New Roman"/>
          <w:sz w:val="24"/>
          <w:szCs w:val="24"/>
          <w:lang w:eastAsia="nb-NO"/>
        </w:rPr>
        <w:t>9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omfatter kun kjente prosjekter. Dette kan bli endret som følge av tilslag av nye prosjekter og forsinkelser i gjennomføring av prosjektaktiviteter og forskyvning av planlagte månedsverk i 201</w:t>
      </w:r>
      <w:r w:rsidR="00397EE2">
        <w:rPr>
          <w:rFonts w:ascii="Times New Roman" w:eastAsia="Times New Roman" w:hAnsi="Times New Roman"/>
          <w:sz w:val="24"/>
          <w:szCs w:val="24"/>
          <w:lang w:eastAsia="nb-NO"/>
        </w:rPr>
        <w:t>9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til senere år. </w:t>
      </w:r>
    </w:p>
    <w:p w:rsidR="00003B85" w:rsidRPr="0089185E" w:rsidRDefault="00A74E98" w:rsidP="00D25C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r w:rsidRPr="0089185E">
        <w:rPr>
          <w:rFonts w:ascii="Times New Roman" w:eastAsia="Times New Roman" w:hAnsi="Times New Roman"/>
          <w:b/>
          <w:sz w:val="28"/>
          <w:szCs w:val="28"/>
          <w:lang w:eastAsia="nb-NO"/>
        </w:rPr>
        <w:t>Langtidsprognose</w:t>
      </w:r>
    </w:p>
    <w:p w:rsidR="00286793" w:rsidRDefault="00BB1C18" w:rsidP="00286793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Tabell </w:t>
      </w:r>
      <w:r w:rsidR="00721191">
        <w:rPr>
          <w:rFonts w:ascii="Times New Roman" w:eastAsia="Times New Roman" w:hAnsi="Times New Roman"/>
          <w:i/>
          <w:sz w:val="24"/>
          <w:szCs w:val="24"/>
          <w:lang w:eastAsia="nb-NO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nb-NO"/>
        </w:rPr>
        <w:t>: Langtidsprognose</w:t>
      </w:r>
      <w:r w:rsidR="00286793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201</w:t>
      </w:r>
      <w:r w:rsidR="00D33B57">
        <w:rPr>
          <w:rFonts w:ascii="Times New Roman" w:eastAsia="Times New Roman" w:hAnsi="Times New Roman"/>
          <w:i/>
          <w:sz w:val="24"/>
          <w:szCs w:val="24"/>
          <w:lang w:eastAsia="nb-NO"/>
        </w:rPr>
        <w:t>9</w:t>
      </w:r>
      <w:r w:rsidR="00286793">
        <w:rPr>
          <w:rFonts w:ascii="Times New Roman" w:eastAsia="Times New Roman" w:hAnsi="Times New Roman"/>
          <w:i/>
          <w:sz w:val="24"/>
          <w:szCs w:val="24"/>
          <w:lang w:eastAsia="nb-NO"/>
        </w:rPr>
        <w:t>-202</w:t>
      </w:r>
      <w:r w:rsidR="00D33B57">
        <w:rPr>
          <w:rFonts w:ascii="Times New Roman" w:eastAsia="Times New Roman" w:hAnsi="Times New Roman"/>
          <w:i/>
          <w:sz w:val="24"/>
          <w:szCs w:val="24"/>
          <w:lang w:eastAsia="nb-NO"/>
        </w:rPr>
        <w:t>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00"/>
        <w:gridCol w:w="1400"/>
        <w:gridCol w:w="1400"/>
        <w:gridCol w:w="1360"/>
        <w:gridCol w:w="1280"/>
      </w:tblGrid>
      <w:tr w:rsidR="00397EE2" w:rsidRPr="00397EE2" w:rsidTr="00397EE2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Langtidsprognose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Budsjett 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nb-NO"/>
              </w:rPr>
              <w:t>Prognose 2023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Inntekter fra bevilgning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-12 435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-12 699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-12 826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-12 109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-10 802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Andre UiO-inntekter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-2 161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-898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-308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Personalkostnader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21 458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19 782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17 631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16 424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16 183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Driftskostnader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3 668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3 228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3 168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3 148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3 148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Investeringer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210</w:t>
            </w:r>
          </w:p>
        </w:tc>
      </w:tr>
      <w:tr w:rsidR="00397EE2" w:rsidRPr="00397EE2" w:rsidTr="00397EE2">
        <w:trPr>
          <w:trHeight w:val="46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Årsresultat uten nettobidrag og prosjektavslutning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10 740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8 360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7 285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7 365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8 740</w:t>
            </w:r>
          </w:p>
        </w:tc>
      </w:tr>
      <w:tr w:rsidR="00397EE2" w:rsidRPr="00397EE2" w:rsidTr="00397EE2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Nettobidrag fra prosjekter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-10 858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-6 718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-5 000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-5 000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-5 000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Prosjektavslutning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 xml:space="preserve">Årsresultat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1 642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2 285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2 365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3 740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Overført fra i fjor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-12 533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-12 535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-10 893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-8 608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-6 243</w:t>
            </w:r>
          </w:p>
        </w:tc>
      </w:tr>
      <w:tr w:rsidR="00397EE2" w:rsidRPr="00397EE2" w:rsidTr="00397EE2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Akkumulert resultat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-12 535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-10 893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-8 608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-6 243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397EE2" w:rsidRPr="00397EE2" w:rsidRDefault="00397EE2" w:rsidP="00397E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97E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nb-NO"/>
              </w:rPr>
              <w:t>-2 503</w:t>
            </w:r>
          </w:p>
        </w:tc>
      </w:tr>
    </w:tbl>
    <w:p w:rsidR="00AC76FE" w:rsidRPr="00397EE2" w:rsidRDefault="00521A4D" w:rsidP="00397EE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Langtidsprognosen legger opp til en reduksjon i akkumulert overskudd fram mot 2022. Det er imidlertid lagt inn et nøkternt nettobidrag fra prosjekter i prognosen fra 2020. Med et litt høyere </w:t>
      </w:r>
      <w:r w:rsidR="00BB1C18">
        <w:rPr>
          <w:rFonts w:ascii="Times New Roman" w:eastAsia="Times New Roman" w:hAnsi="Times New Roman"/>
          <w:sz w:val="24"/>
          <w:szCs w:val="24"/>
          <w:lang w:eastAsia="nb-NO"/>
        </w:rPr>
        <w:t>beløp her, vil TIK fremdeles kunne ha et positivt akkumulert resultat ved slutten av perioden.</w:t>
      </w:r>
    </w:p>
    <w:p w:rsidR="00736A29" w:rsidRPr="00736A29" w:rsidRDefault="00736A29" w:rsidP="00736A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r w:rsidRPr="00736A29">
        <w:rPr>
          <w:rFonts w:ascii="Times New Roman" w:eastAsia="Times New Roman" w:hAnsi="Times New Roman"/>
          <w:b/>
          <w:sz w:val="28"/>
          <w:szCs w:val="28"/>
          <w:lang w:eastAsia="nb-NO"/>
        </w:rPr>
        <w:t>Risikovurdering langtidsperioden 201</w:t>
      </w:r>
      <w:r w:rsidR="00397EE2">
        <w:rPr>
          <w:rFonts w:ascii="Times New Roman" w:eastAsia="Times New Roman" w:hAnsi="Times New Roman"/>
          <w:b/>
          <w:sz w:val="28"/>
          <w:szCs w:val="28"/>
          <w:lang w:eastAsia="nb-NO"/>
        </w:rPr>
        <w:t>9</w:t>
      </w:r>
      <w:r w:rsidRPr="00736A29">
        <w:rPr>
          <w:rFonts w:ascii="Times New Roman" w:eastAsia="Times New Roman" w:hAnsi="Times New Roman"/>
          <w:b/>
          <w:sz w:val="28"/>
          <w:szCs w:val="28"/>
          <w:lang w:eastAsia="nb-NO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nb-NO"/>
        </w:rPr>
        <w:t>2</w:t>
      </w:r>
      <w:r w:rsidR="00397EE2">
        <w:rPr>
          <w:rFonts w:ascii="Times New Roman" w:eastAsia="Times New Roman" w:hAnsi="Times New Roman"/>
          <w:b/>
          <w:sz w:val="28"/>
          <w:szCs w:val="28"/>
          <w:lang w:eastAsia="nb-NO"/>
        </w:rPr>
        <w:t>3</w:t>
      </w:r>
    </w:p>
    <w:p w:rsidR="002724FA" w:rsidRDefault="00397EE2" w:rsidP="00DE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SV-fakultetets f</w:t>
      </w:r>
      <w:r w:rsidR="00BB1C18">
        <w:rPr>
          <w:rFonts w:ascii="Times New Roman" w:eastAsia="Times New Roman" w:hAnsi="Times New Roman"/>
          <w:sz w:val="24"/>
          <w:szCs w:val="24"/>
          <w:lang w:eastAsia="nb-NO"/>
        </w:rPr>
        <w:t xml:space="preserve">ordelingsmodellen for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basisbevilgning er endret fra 2019 og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TIKs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tildeling vil bli redusert sammenlignet hva vi tidligere forventet.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TIKs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økonomi </w:t>
      </w:r>
      <w:r w:rsidR="00347FE0">
        <w:rPr>
          <w:rFonts w:ascii="Times New Roman" w:eastAsia="Times New Roman" w:hAnsi="Times New Roman"/>
          <w:sz w:val="24"/>
          <w:szCs w:val="24"/>
          <w:lang w:eastAsia="nb-NO"/>
        </w:rPr>
        <w:t xml:space="preserve">er avhengig av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et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betydlig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347FE0">
        <w:rPr>
          <w:rFonts w:ascii="Times New Roman" w:eastAsia="Times New Roman" w:hAnsi="Times New Roman"/>
          <w:sz w:val="24"/>
          <w:szCs w:val="24"/>
          <w:lang w:eastAsia="nb-NO"/>
        </w:rPr>
        <w:t xml:space="preserve">nettobidrag fra eksterne prosjekter for å sikre tilstrekkelig finansiering for fast ansatte medarbeidere og ordinær drift.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De siste årene har TIK hatt god tilslagsrate på eksternfinansierte prosjekter. Dersom vi ikke lykkes i å hente inn denne type prosjekter mot </w:t>
      </w:r>
      <w:r>
        <w:rPr>
          <w:rFonts w:ascii="Times New Roman" w:eastAsia="Times New Roman" w:hAnsi="Times New Roman"/>
          <w:sz w:val="24"/>
          <w:szCs w:val="24"/>
          <w:lang w:eastAsia="nb-NO"/>
        </w:rPr>
        <w:lastRenderedPageBreak/>
        <w:t>slutten av perioden, vil det kunne føre til et lavere nettobidrag fra prosjekter enn det som er lagt inn i prognosen.</w:t>
      </w:r>
    </w:p>
    <w:p w:rsidR="00ED3E8B" w:rsidRDefault="00ED3E8B" w:rsidP="00DE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TIK har noen utfordringer knyttet til gjennomstrømming av både Master-studenter og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PhD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>-kandidater, med en lavere gjennomstrømming enn forventet, vil basisinntektene reduseres.</w:t>
      </w:r>
    </w:p>
    <w:p w:rsidR="00397EE2" w:rsidRDefault="00397EE2" w:rsidP="00DE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Hvilket utfall den tillyste gjennomgangen av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TIKs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organisasjonsform vil ha på senterets økonomi, er høyst usikker, ikke minst hvordan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TIKs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økonomiske buffer vil bli behandlet.</w:t>
      </w:r>
    </w:p>
    <w:p w:rsidR="00ED3E8B" w:rsidRDefault="00ED3E8B" w:rsidP="00DE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:rsidR="001D245A" w:rsidRPr="00D33F8F" w:rsidRDefault="00D33F8F" w:rsidP="00DE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Forslag til v</w:t>
      </w:r>
      <w:r w:rsidR="00DE1C98" w:rsidRPr="00DE1C98">
        <w:rPr>
          <w:rFonts w:ascii="Times New Roman" w:eastAsia="Times New Roman" w:hAnsi="Times New Roman"/>
          <w:b/>
          <w:sz w:val="24"/>
          <w:szCs w:val="24"/>
          <w:lang w:eastAsia="nb-NO"/>
        </w:rPr>
        <w:t>edtak</w:t>
      </w:r>
      <w:r w:rsidR="00DE1C98">
        <w:rPr>
          <w:rFonts w:ascii="Times New Roman" w:eastAsia="Times New Roman" w:hAnsi="Times New Roman"/>
          <w:sz w:val="24"/>
          <w:szCs w:val="24"/>
          <w:lang w:eastAsia="nb-NO"/>
        </w:rPr>
        <w:t>:</w:t>
      </w:r>
    </w:p>
    <w:p w:rsidR="006D5C13" w:rsidRDefault="00DE1C98" w:rsidP="00094E1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1C164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Styret </w:t>
      </w:r>
      <w:r w:rsidR="0022714A" w:rsidRPr="001C1645">
        <w:rPr>
          <w:rFonts w:ascii="Times New Roman" w:eastAsia="Times New Roman" w:hAnsi="Times New Roman"/>
          <w:i/>
          <w:sz w:val="24"/>
          <w:szCs w:val="24"/>
          <w:lang w:eastAsia="nb-NO"/>
        </w:rPr>
        <w:t>godkjenner budsjettforslaget</w:t>
      </w:r>
      <w:r w:rsidR="00370ABB" w:rsidRPr="001C164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for 201</w:t>
      </w:r>
      <w:r w:rsidR="00397EE2">
        <w:rPr>
          <w:rFonts w:ascii="Times New Roman" w:eastAsia="Times New Roman" w:hAnsi="Times New Roman"/>
          <w:i/>
          <w:sz w:val="24"/>
          <w:szCs w:val="24"/>
          <w:lang w:eastAsia="nb-NO"/>
        </w:rPr>
        <w:t>9</w:t>
      </w:r>
      <w:r w:rsidR="009D0B88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</w:t>
      </w:r>
      <w:r w:rsidR="0022714A" w:rsidRPr="001C164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og tar langtidsbudsjettet til orientering. </w:t>
      </w:r>
    </w:p>
    <w:p w:rsidR="005926A8" w:rsidRDefault="00DF6B19" w:rsidP="007B320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397EE2">
        <w:rPr>
          <w:rFonts w:ascii="Times New Roman" w:eastAsia="Times New Roman" w:hAnsi="Times New Roman"/>
          <w:i/>
          <w:sz w:val="24"/>
          <w:szCs w:val="24"/>
          <w:lang w:eastAsia="nb-NO"/>
        </w:rPr>
        <w:lastRenderedPageBreak/>
        <w:t>Vedlegg 1</w:t>
      </w:r>
      <w:r w:rsidR="001349A9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. </w:t>
      </w:r>
      <w:r w:rsidR="007B320B">
        <w:rPr>
          <w:rFonts w:ascii="Times New Roman" w:hAnsi="Times New Roman"/>
          <w:b/>
        </w:rPr>
        <w:t>N</w:t>
      </w:r>
      <w:r w:rsidR="001349A9">
        <w:rPr>
          <w:rFonts w:ascii="Times New Roman" w:hAnsi="Times New Roman"/>
          <w:b/>
        </w:rPr>
        <w:t xml:space="preserve">ettobidrag fra eksternt finansierte prosjekter i </w:t>
      </w:r>
      <w:r w:rsidR="007B320B">
        <w:rPr>
          <w:rFonts w:ascii="Times New Roman" w:hAnsi="Times New Roman"/>
          <w:b/>
        </w:rPr>
        <w:t>201</w:t>
      </w:r>
      <w:r w:rsidR="00D33B57">
        <w:rPr>
          <w:rFonts w:ascii="Times New Roman" w:hAnsi="Times New Roman"/>
          <w:b/>
        </w:rPr>
        <w:t>7</w:t>
      </w:r>
      <w:r w:rsidR="007B320B">
        <w:rPr>
          <w:rFonts w:ascii="Times New Roman" w:hAnsi="Times New Roman"/>
          <w:b/>
        </w:rPr>
        <w:t xml:space="preserve"> - </w:t>
      </w:r>
      <w:r w:rsidR="001349A9">
        <w:rPr>
          <w:rFonts w:ascii="Times New Roman" w:hAnsi="Times New Roman"/>
          <w:b/>
        </w:rPr>
        <w:t>201</w:t>
      </w:r>
      <w:r w:rsidR="00D33B57">
        <w:rPr>
          <w:rFonts w:ascii="Times New Roman" w:hAnsi="Times New Roman"/>
          <w:b/>
        </w:rPr>
        <w:t>9: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2"/>
        <w:gridCol w:w="1096"/>
        <w:gridCol w:w="1095"/>
        <w:gridCol w:w="1097"/>
      </w:tblGrid>
      <w:tr w:rsidR="00D33B57" w:rsidRPr="00D33B57" w:rsidTr="00D33B57">
        <w:trPr>
          <w:trHeight w:val="315"/>
        </w:trPr>
        <w:tc>
          <w:tcPr>
            <w:tcW w:w="6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Nettobidrag per prosjekt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Regnskap 2017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Prognose 2018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Budsjett 2019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nil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144005 237677/E30 Supplier Industry and Value Creation (SIVAC)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1 382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 xml:space="preserve">144147 243994/E20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InGrid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 xml:space="preserve"> - Integration of Power Transmission Grids - Prospects and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778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144194 247921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Responsible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innovation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and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happiness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569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792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643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144303 256240/O30 OSIRIS - Oslo Institute for Research on the Impact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934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995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1 620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144486 239002/O70 -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ReDig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135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144503 271917/O50 -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Mission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(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im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)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possible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?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524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 xml:space="preserve">144509 267951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ReNewGrowth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 xml:space="preserve"> - Conditions for growth in renewable energy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533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727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144700 280963 GLOBOIL - The Norwegian oil and gas supply industry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549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1 370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190586 209697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CenSES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126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190643 233971  Robust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regulatory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regimes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190697 255430 - Transforming household mobility practices through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504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190710 150478 Political Regulation of Natural Resources 1870-20010,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190737 270912 -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Infradata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226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190743 RESPUBLICA - Responsibility, practice and the public good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653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204969 Jernbaneverket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205439 Offentlig-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ph.d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. (KD)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47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205440 Offentlig-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ph.d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. (KD-Skogen)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196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212004 NAV-forsker OSIRIS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393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220344 Kundeundersøkelse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421109 Nærings-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PhD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 (Telenor)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421112 NORSI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421141 Telenor - videreføring av 211643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429999 Budsjettering; prosjektserie 420000 - 429998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307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461213 Europeanisation of Energy-Technological Innovation Systems 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461305 Sustainable path creation for innovative value chains for organic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1 494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1 318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 xml:space="preserve">461439 268466/E20 -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Greenfleet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321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 xml:space="preserve">461469 257639 </w:t>
            </w:r>
            <w:proofErr w:type="spellStart"/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Susoltech</w:t>
            </w:r>
            <w:proofErr w:type="spellEnd"/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 xml:space="preserve"> FME - Research Centre for Sustainable Solar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-23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253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val="en-US" w:eastAsia="nb-NO"/>
              </w:rPr>
              <w:t>651002 645884 Investigating the Impact of the Innovation Union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387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D33B57" w:rsidRPr="00D33B57" w:rsidTr="00D33B57">
        <w:trPr>
          <w:trHeight w:val="300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651017 Little Tools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1 273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1 028</w:t>
            </w:r>
          </w:p>
        </w:tc>
      </w:tr>
      <w:tr w:rsidR="00D33B57" w:rsidRPr="00D33B57" w:rsidTr="00D33B57">
        <w:trPr>
          <w:trHeight w:val="315"/>
        </w:trPr>
        <w:tc>
          <w:tcPr>
            <w:tcW w:w="6052" w:type="dxa"/>
            <w:tcBorders>
              <w:top w:val="single" w:sz="4" w:space="0" w:color="D9D9D9"/>
              <w:left w:val="single" w:sz="8" w:space="0" w:color="auto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color w:val="000000"/>
                <w:lang w:eastAsia="nb-NO"/>
              </w:rPr>
              <w:t>659999 Budsjettering; prosjektserie 640000 - 659999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D33B57">
              <w:rPr>
                <w:rFonts w:eastAsia="Times New Roman" w:cs="Calibri"/>
                <w:color w:val="000000"/>
                <w:lang w:eastAsia="nb-NO"/>
              </w:rPr>
              <w:t>212</w:t>
            </w:r>
          </w:p>
        </w:tc>
      </w:tr>
      <w:tr w:rsidR="00D33B57" w:rsidRPr="00D33B57" w:rsidTr="00D33B57">
        <w:trPr>
          <w:trHeight w:val="315"/>
        </w:trPr>
        <w:tc>
          <w:tcPr>
            <w:tcW w:w="6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rPr>
                <w:rFonts w:eastAsia="Times New Roman" w:cs="Calibri"/>
                <w:b/>
                <w:bCs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lang w:eastAsia="nb-NO"/>
              </w:rPr>
              <w:t>Sum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lang w:eastAsia="nb-NO"/>
              </w:rPr>
              <w:t>9 056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lang w:eastAsia="nb-NO"/>
              </w:rPr>
              <w:t>9 529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B57" w:rsidRPr="00D33B57" w:rsidRDefault="00D33B57" w:rsidP="00D33B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nb-NO"/>
              </w:rPr>
            </w:pPr>
            <w:r w:rsidRPr="00D33B57">
              <w:rPr>
                <w:rFonts w:eastAsia="Times New Roman" w:cs="Calibri"/>
                <w:b/>
                <w:bCs/>
                <w:lang w:eastAsia="nb-NO"/>
              </w:rPr>
              <w:t>10 858</w:t>
            </w:r>
          </w:p>
        </w:tc>
      </w:tr>
    </w:tbl>
    <w:p w:rsidR="00F05593" w:rsidRPr="00EF5252" w:rsidRDefault="00F05593" w:rsidP="00397EE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nb-NO"/>
        </w:rPr>
      </w:pPr>
    </w:p>
    <w:sectPr w:rsidR="00F05593" w:rsidRPr="00EF5252" w:rsidSect="00CD71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EC" w:rsidRDefault="00E11AEC" w:rsidP="00567322">
      <w:pPr>
        <w:spacing w:after="0" w:line="240" w:lineRule="auto"/>
      </w:pPr>
      <w:r>
        <w:separator/>
      </w:r>
    </w:p>
  </w:endnote>
  <w:endnote w:type="continuationSeparator" w:id="0">
    <w:p w:rsidR="00E11AEC" w:rsidRDefault="00E11AEC" w:rsidP="0056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EC" w:rsidRDefault="00E11AE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E27CC">
      <w:rPr>
        <w:noProof/>
      </w:rPr>
      <w:t>10</w:t>
    </w:r>
    <w:r>
      <w:fldChar w:fldCharType="end"/>
    </w:r>
  </w:p>
  <w:p w:rsidR="00E11AEC" w:rsidRDefault="00E1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EC" w:rsidRDefault="00E11AEC" w:rsidP="00567322">
      <w:pPr>
        <w:spacing w:after="0" w:line="240" w:lineRule="auto"/>
      </w:pPr>
      <w:r>
        <w:separator/>
      </w:r>
    </w:p>
  </w:footnote>
  <w:footnote w:type="continuationSeparator" w:id="0">
    <w:p w:rsidR="00E11AEC" w:rsidRDefault="00E11AEC" w:rsidP="0056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03"/>
    <w:multiLevelType w:val="hybridMultilevel"/>
    <w:tmpl w:val="FA8E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BDA"/>
    <w:multiLevelType w:val="hybridMultilevel"/>
    <w:tmpl w:val="A322E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E24"/>
    <w:multiLevelType w:val="multilevel"/>
    <w:tmpl w:val="0E0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A3776"/>
    <w:multiLevelType w:val="hybridMultilevel"/>
    <w:tmpl w:val="B1269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64A"/>
    <w:multiLevelType w:val="hybridMultilevel"/>
    <w:tmpl w:val="AFB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4EE6"/>
    <w:multiLevelType w:val="hybridMultilevel"/>
    <w:tmpl w:val="F634E2EE"/>
    <w:lvl w:ilvl="0" w:tplc="6B447F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1F44"/>
    <w:multiLevelType w:val="hybridMultilevel"/>
    <w:tmpl w:val="6A861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533A"/>
    <w:multiLevelType w:val="hybridMultilevel"/>
    <w:tmpl w:val="38C6849C"/>
    <w:lvl w:ilvl="0" w:tplc="FBA6CA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1AB4"/>
    <w:multiLevelType w:val="hybridMultilevel"/>
    <w:tmpl w:val="EED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27421"/>
    <w:multiLevelType w:val="hybridMultilevel"/>
    <w:tmpl w:val="FEA6E710"/>
    <w:lvl w:ilvl="0" w:tplc="E6F4C13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A5CC4"/>
    <w:multiLevelType w:val="hybridMultilevel"/>
    <w:tmpl w:val="3ED03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7514"/>
    <w:multiLevelType w:val="hybridMultilevel"/>
    <w:tmpl w:val="BAF85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40AA"/>
    <w:multiLevelType w:val="hybridMultilevel"/>
    <w:tmpl w:val="68621498"/>
    <w:lvl w:ilvl="0" w:tplc="E2F67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C255A"/>
    <w:multiLevelType w:val="hybridMultilevel"/>
    <w:tmpl w:val="B734C3A6"/>
    <w:lvl w:ilvl="0" w:tplc="DCEE1F3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C4F1A"/>
    <w:multiLevelType w:val="hybridMultilevel"/>
    <w:tmpl w:val="EE5E1096"/>
    <w:lvl w:ilvl="0" w:tplc="255A7A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B58E4"/>
    <w:multiLevelType w:val="hybridMultilevel"/>
    <w:tmpl w:val="D806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292"/>
    <w:multiLevelType w:val="hybridMultilevel"/>
    <w:tmpl w:val="6E6EE158"/>
    <w:lvl w:ilvl="0" w:tplc="AF3891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B6DA4"/>
    <w:multiLevelType w:val="hybridMultilevel"/>
    <w:tmpl w:val="5CE2CF14"/>
    <w:lvl w:ilvl="0" w:tplc="990AA2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6F"/>
    <w:rsid w:val="00003B85"/>
    <w:rsid w:val="00007484"/>
    <w:rsid w:val="00033F9F"/>
    <w:rsid w:val="00036FEA"/>
    <w:rsid w:val="000503ED"/>
    <w:rsid w:val="000524D5"/>
    <w:rsid w:val="00056838"/>
    <w:rsid w:val="000576DE"/>
    <w:rsid w:val="000611CF"/>
    <w:rsid w:val="00070367"/>
    <w:rsid w:val="0008514A"/>
    <w:rsid w:val="00094E11"/>
    <w:rsid w:val="00095207"/>
    <w:rsid w:val="000A23E0"/>
    <w:rsid w:val="000A2FCA"/>
    <w:rsid w:val="000B7A20"/>
    <w:rsid w:val="000C3122"/>
    <w:rsid w:val="000C5F40"/>
    <w:rsid w:val="000C709D"/>
    <w:rsid w:val="000D08E9"/>
    <w:rsid w:val="000D1961"/>
    <w:rsid w:val="000D3FC4"/>
    <w:rsid w:val="000D4D89"/>
    <w:rsid w:val="000D7304"/>
    <w:rsid w:val="000F41F6"/>
    <w:rsid w:val="0010430D"/>
    <w:rsid w:val="001043C7"/>
    <w:rsid w:val="00105063"/>
    <w:rsid w:val="00113E73"/>
    <w:rsid w:val="00114845"/>
    <w:rsid w:val="00120DDA"/>
    <w:rsid w:val="00124BB1"/>
    <w:rsid w:val="00124FFA"/>
    <w:rsid w:val="001349A9"/>
    <w:rsid w:val="00134FC3"/>
    <w:rsid w:val="0013548F"/>
    <w:rsid w:val="0013787C"/>
    <w:rsid w:val="00145021"/>
    <w:rsid w:val="00147F26"/>
    <w:rsid w:val="00151B1E"/>
    <w:rsid w:val="00157AA0"/>
    <w:rsid w:val="00170656"/>
    <w:rsid w:val="00172DDF"/>
    <w:rsid w:val="00181E33"/>
    <w:rsid w:val="00181E46"/>
    <w:rsid w:val="0018324C"/>
    <w:rsid w:val="001859FD"/>
    <w:rsid w:val="0018725E"/>
    <w:rsid w:val="00195119"/>
    <w:rsid w:val="001A36A0"/>
    <w:rsid w:val="001A5646"/>
    <w:rsid w:val="001A7F23"/>
    <w:rsid w:val="001B1360"/>
    <w:rsid w:val="001C1645"/>
    <w:rsid w:val="001C442E"/>
    <w:rsid w:val="001D245A"/>
    <w:rsid w:val="001E116B"/>
    <w:rsid w:val="001E7536"/>
    <w:rsid w:val="001F6B81"/>
    <w:rsid w:val="001F7E80"/>
    <w:rsid w:val="002026CC"/>
    <w:rsid w:val="00225E03"/>
    <w:rsid w:val="0022714A"/>
    <w:rsid w:val="0023510C"/>
    <w:rsid w:val="00245C60"/>
    <w:rsid w:val="00251CD6"/>
    <w:rsid w:val="00252C89"/>
    <w:rsid w:val="00255881"/>
    <w:rsid w:val="00256BF3"/>
    <w:rsid w:val="00257E78"/>
    <w:rsid w:val="00266D57"/>
    <w:rsid w:val="002724FA"/>
    <w:rsid w:val="002725F2"/>
    <w:rsid w:val="00275C01"/>
    <w:rsid w:val="002775A5"/>
    <w:rsid w:val="00281CF3"/>
    <w:rsid w:val="0028379D"/>
    <w:rsid w:val="00284D1C"/>
    <w:rsid w:val="00286793"/>
    <w:rsid w:val="002924C5"/>
    <w:rsid w:val="002A25FF"/>
    <w:rsid w:val="002A26AA"/>
    <w:rsid w:val="002A7010"/>
    <w:rsid w:val="002B2F92"/>
    <w:rsid w:val="002C2650"/>
    <w:rsid w:val="002C2FC3"/>
    <w:rsid w:val="002C3906"/>
    <w:rsid w:val="002C59D7"/>
    <w:rsid w:val="002C76BB"/>
    <w:rsid w:val="002D06FE"/>
    <w:rsid w:val="002E4B81"/>
    <w:rsid w:val="002F1CFD"/>
    <w:rsid w:val="002F3485"/>
    <w:rsid w:val="002F6F6F"/>
    <w:rsid w:val="002F7A2B"/>
    <w:rsid w:val="00301111"/>
    <w:rsid w:val="003023FE"/>
    <w:rsid w:val="00303924"/>
    <w:rsid w:val="00311356"/>
    <w:rsid w:val="00312857"/>
    <w:rsid w:val="003157DD"/>
    <w:rsid w:val="0031729D"/>
    <w:rsid w:val="00320BAA"/>
    <w:rsid w:val="00334F52"/>
    <w:rsid w:val="00335499"/>
    <w:rsid w:val="00340A18"/>
    <w:rsid w:val="00340CB4"/>
    <w:rsid w:val="00343A2F"/>
    <w:rsid w:val="0034596F"/>
    <w:rsid w:val="0034672A"/>
    <w:rsid w:val="00347FE0"/>
    <w:rsid w:val="003507AA"/>
    <w:rsid w:val="00351557"/>
    <w:rsid w:val="00364F1E"/>
    <w:rsid w:val="00370ABB"/>
    <w:rsid w:val="00382103"/>
    <w:rsid w:val="00382A9C"/>
    <w:rsid w:val="00383751"/>
    <w:rsid w:val="00385688"/>
    <w:rsid w:val="00397EE2"/>
    <w:rsid w:val="003A2332"/>
    <w:rsid w:val="003B58F6"/>
    <w:rsid w:val="003C5DFA"/>
    <w:rsid w:val="003C6910"/>
    <w:rsid w:val="003D0424"/>
    <w:rsid w:val="003D2564"/>
    <w:rsid w:val="003E5FD7"/>
    <w:rsid w:val="003F2D5A"/>
    <w:rsid w:val="003F62E0"/>
    <w:rsid w:val="00410B44"/>
    <w:rsid w:val="00411B67"/>
    <w:rsid w:val="00415345"/>
    <w:rsid w:val="004163D6"/>
    <w:rsid w:val="00424EEC"/>
    <w:rsid w:val="0042537F"/>
    <w:rsid w:val="00443E59"/>
    <w:rsid w:val="004504AA"/>
    <w:rsid w:val="00452D51"/>
    <w:rsid w:val="004555A7"/>
    <w:rsid w:val="00462B2F"/>
    <w:rsid w:val="00463FEA"/>
    <w:rsid w:val="00473DE4"/>
    <w:rsid w:val="00476F03"/>
    <w:rsid w:val="004772EA"/>
    <w:rsid w:val="0047766A"/>
    <w:rsid w:val="00483887"/>
    <w:rsid w:val="004863E0"/>
    <w:rsid w:val="004875BB"/>
    <w:rsid w:val="0049638A"/>
    <w:rsid w:val="004B5824"/>
    <w:rsid w:val="004B6B48"/>
    <w:rsid w:val="004C483E"/>
    <w:rsid w:val="004C5841"/>
    <w:rsid w:val="004C712F"/>
    <w:rsid w:val="004D0148"/>
    <w:rsid w:val="004D1EEF"/>
    <w:rsid w:val="004D49BB"/>
    <w:rsid w:val="004D7A7E"/>
    <w:rsid w:val="004E2D5C"/>
    <w:rsid w:val="004E70D7"/>
    <w:rsid w:val="004F005C"/>
    <w:rsid w:val="004F29D8"/>
    <w:rsid w:val="004F57B0"/>
    <w:rsid w:val="004F6117"/>
    <w:rsid w:val="00500F9A"/>
    <w:rsid w:val="00505199"/>
    <w:rsid w:val="0051068E"/>
    <w:rsid w:val="00513CE5"/>
    <w:rsid w:val="00521A4D"/>
    <w:rsid w:val="00527382"/>
    <w:rsid w:val="005363C1"/>
    <w:rsid w:val="005452B1"/>
    <w:rsid w:val="005528DE"/>
    <w:rsid w:val="005549C8"/>
    <w:rsid w:val="00554A2C"/>
    <w:rsid w:val="00557A0E"/>
    <w:rsid w:val="005662D9"/>
    <w:rsid w:val="00567322"/>
    <w:rsid w:val="00570CBD"/>
    <w:rsid w:val="00577C8D"/>
    <w:rsid w:val="00580C2B"/>
    <w:rsid w:val="00581B73"/>
    <w:rsid w:val="00586297"/>
    <w:rsid w:val="00587C5C"/>
    <w:rsid w:val="00591C9A"/>
    <w:rsid w:val="005926A8"/>
    <w:rsid w:val="0059642A"/>
    <w:rsid w:val="005A71A0"/>
    <w:rsid w:val="005B11EB"/>
    <w:rsid w:val="005B7826"/>
    <w:rsid w:val="005C68EE"/>
    <w:rsid w:val="005D20A7"/>
    <w:rsid w:val="005E019B"/>
    <w:rsid w:val="005E604B"/>
    <w:rsid w:val="006052C0"/>
    <w:rsid w:val="00615190"/>
    <w:rsid w:val="00621507"/>
    <w:rsid w:val="00624E78"/>
    <w:rsid w:val="00631DB4"/>
    <w:rsid w:val="00634EEF"/>
    <w:rsid w:val="0063530F"/>
    <w:rsid w:val="006444CA"/>
    <w:rsid w:val="006472AD"/>
    <w:rsid w:val="006552BB"/>
    <w:rsid w:val="0066208B"/>
    <w:rsid w:val="00663B90"/>
    <w:rsid w:val="00672FB7"/>
    <w:rsid w:val="00680A82"/>
    <w:rsid w:val="006828BF"/>
    <w:rsid w:val="00694C83"/>
    <w:rsid w:val="00694F24"/>
    <w:rsid w:val="006966EC"/>
    <w:rsid w:val="006A1B63"/>
    <w:rsid w:val="006A3192"/>
    <w:rsid w:val="006B5FDE"/>
    <w:rsid w:val="006D3731"/>
    <w:rsid w:val="006D5C13"/>
    <w:rsid w:val="006E3DCD"/>
    <w:rsid w:val="006E454C"/>
    <w:rsid w:val="006F0269"/>
    <w:rsid w:val="006F29AF"/>
    <w:rsid w:val="006F3288"/>
    <w:rsid w:val="006F3943"/>
    <w:rsid w:val="006F4630"/>
    <w:rsid w:val="0070349E"/>
    <w:rsid w:val="00721191"/>
    <w:rsid w:val="007248D9"/>
    <w:rsid w:val="00732287"/>
    <w:rsid w:val="00736A29"/>
    <w:rsid w:val="00737076"/>
    <w:rsid w:val="00740CA9"/>
    <w:rsid w:val="0074194E"/>
    <w:rsid w:val="007452AB"/>
    <w:rsid w:val="007461C6"/>
    <w:rsid w:val="00755878"/>
    <w:rsid w:val="00757CCE"/>
    <w:rsid w:val="007609AB"/>
    <w:rsid w:val="0076628C"/>
    <w:rsid w:val="00767CCF"/>
    <w:rsid w:val="00770BDA"/>
    <w:rsid w:val="00776E00"/>
    <w:rsid w:val="0078448C"/>
    <w:rsid w:val="00785726"/>
    <w:rsid w:val="007908EE"/>
    <w:rsid w:val="007926EF"/>
    <w:rsid w:val="00796A39"/>
    <w:rsid w:val="007A20CF"/>
    <w:rsid w:val="007B320B"/>
    <w:rsid w:val="007B3C86"/>
    <w:rsid w:val="007C3994"/>
    <w:rsid w:val="007C5A59"/>
    <w:rsid w:val="007C5B28"/>
    <w:rsid w:val="007D017A"/>
    <w:rsid w:val="007D1A95"/>
    <w:rsid w:val="007D526F"/>
    <w:rsid w:val="007D69EA"/>
    <w:rsid w:val="007F1127"/>
    <w:rsid w:val="007F1E13"/>
    <w:rsid w:val="007F2CDE"/>
    <w:rsid w:val="00801BF5"/>
    <w:rsid w:val="0080637F"/>
    <w:rsid w:val="00814042"/>
    <w:rsid w:val="00820A32"/>
    <w:rsid w:val="00823512"/>
    <w:rsid w:val="00830C31"/>
    <w:rsid w:val="00832FAD"/>
    <w:rsid w:val="008473D9"/>
    <w:rsid w:val="008515D6"/>
    <w:rsid w:val="00861726"/>
    <w:rsid w:val="0086179B"/>
    <w:rsid w:val="00864697"/>
    <w:rsid w:val="00866D2E"/>
    <w:rsid w:val="0087067D"/>
    <w:rsid w:val="008717CE"/>
    <w:rsid w:val="00873CAA"/>
    <w:rsid w:val="00874F6F"/>
    <w:rsid w:val="00876FD2"/>
    <w:rsid w:val="0089185E"/>
    <w:rsid w:val="00896446"/>
    <w:rsid w:val="008A0813"/>
    <w:rsid w:val="008A682D"/>
    <w:rsid w:val="008B075C"/>
    <w:rsid w:val="008B4778"/>
    <w:rsid w:val="008B7EAF"/>
    <w:rsid w:val="008E1385"/>
    <w:rsid w:val="008E6542"/>
    <w:rsid w:val="008F27EF"/>
    <w:rsid w:val="008F2FA3"/>
    <w:rsid w:val="00904DF0"/>
    <w:rsid w:val="00913C87"/>
    <w:rsid w:val="009156CA"/>
    <w:rsid w:val="0092100C"/>
    <w:rsid w:val="00922809"/>
    <w:rsid w:val="00922FAE"/>
    <w:rsid w:val="009316C1"/>
    <w:rsid w:val="00945044"/>
    <w:rsid w:val="00953910"/>
    <w:rsid w:val="009576BA"/>
    <w:rsid w:val="00961CFA"/>
    <w:rsid w:val="00973ACB"/>
    <w:rsid w:val="00983031"/>
    <w:rsid w:val="00990B8B"/>
    <w:rsid w:val="009937B6"/>
    <w:rsid w:val="009A17CA"/>
    <w:rsid w:val="009B4056"/>
    <w:rsid w:val="009B5C4D"/>
    <w:rsid w:val="009C0D76"/>
    <w:rsid w:val="009C554D"/>
    <w:rsid w:val="009D02AE"/>
    <w:rsid w:val="009D0B88"/>
    <w:rsid w:val="009D2622"/>
    <w:rsid w:val="009D574F"/>
    <w:rsid w:val="009D6FAD"/>
    <w:rsid w:val="009F5810"/>
    <w:rsid w:val="00A06026"/>
    <w:rsid w:val="00A07A37"/>
    <w:rsid w:val="00A1018C"/>
    <w:rsid w:val="00A21063"/>
    <w:rsid w:val="00A350AB"/>
    <w:rsid w:val="00A42842"/>
    <w:rsid w:val="00A4663C"/>
    <w:rsid w:val="00A478DD"/>
    <w:rsid w:val="00A55266"/>
    <w:rsid w:val="00A62683"/>
    <w:rsid w:val="00A631AE"/>
    <w:rsid w:val="00A65EFC"/>
    <w:rsid w:val="00A67C5C"/>
    <w:rsid w:val="00A74E98"/>
    <w:rsid w:val="00A92645"/>
    <w:rsid w:val="00AB0918"/>
    <w:rsid w:val="00AC060A"/>
    <w:rsid w:val="00AC1D7B"/>
    <w:rsid w:val="00AC3FF1"/>
    <w:rsid w:val="00AC5396"/>
    <w:rsid w:val="00AC76FE"/>
    <w:rsid w:val="00AD730E"/>
    <w:rsid w:val="00AE2730"/>
    <w:rsid w:val="00AE3490"/>
    <w:rsid w:val="00AE47BA"/>
    <w:rsid w:val="00AE580B"/>
    <w:rsid w:val="00AE79BE"/>
    <w:rsid w:val="00AF577B"/>
    <w:rsid w:val="00B118AB"/>
    <w:rsid w:val="00B12F4A"/>
    <w:rsid w:val="00B14C8B"/>
    <w:rsid w:val="00B15E17"/>
    <w:rsid w:val="00B16701"/>
    <w:rsid w:val="00B17DD9"/>
    <w:rsid w:val="00B223B3"/>
    <w:rsid w:val="00B31949"/>
    <w:rsid w:val="00B3734C"/>
    <w:rsid w:val="00B42C3E"/>
    <w:rsid w:val="00B4360A"/>
    <w:rsid w:val="00B45045"/>
    <w:rsid w:val="00B51158"/>
    <w:rsid w:val="00B70EEA"/>
    <w:rsid w:val="00B73C81"/>
    <w:rsid w:val="00B87759"/>
    <w:rsid w:val="00B92CF9"/>
    <w:rsid w:val="00B9559A"/>
    <w:rsid w:val="00B95F48"/>
    <w:rsid w:val="00BB1C18"/>
    <w:rsid w:val="00BD5B70"/>
    <w:rsid w:val="00BE4C73"/>
    <w:rsid w:val="00BF04F2"/>
    <w:rsid w:val="00C051E9"/>
    <w:rsid w:val="00C25CCD"/>
    <w:rsid w:val="00C33706"/>
    <w:rsid w:val="00C36268"/>
    <w:rsid w:val="00C44097"/>
    <w:rsid w:val="00C45D89"/>
    <w:rsid w:val="00C52DEF"/>
    <w:rsid w:val="00C64685"/>
    <w:rsid w:val="00C7252E"/>
    <w:rsid w:val="00C9314F"/>
    <w:rsid w:val="00CA0EFC"/>
    <w:rsid w:val="00CA212A"/>
    <w:rsid w:val="00CA738E"/>
    <w:rsid w:val="00CA7667"/>
    <w:rsid w:val="00CA78C2"/>
    <w:rsid w:val="00CB1D5D"/>
    <w:rsid w:val="00CB39DF"/>
    <w:rsid w:val="00CB4F73"/>
    <w:rsid w:val="00CC0AB0"/>
    <w:rsid w:val="00CC5A54"/>
    <w:rsid w:val="00CC63A3"/>
    <w:rsid w:val="00CD71C6"/>
    <w:rsid w:val="00CE6706"/>
    <w:rsid w:val="00CF5F5C"/>
    <w:rsid w:val="00D01740"/>
    <w:rsid w:val="00D06FD9"/>
    <w:rsid w:val="00D1490F"/>
    <w:rsid w:val="00D206C9"/>
    <w:rsid w:val="00D23A9F"/>
    <w:rsid w:val="00D25C32"/>
    <w:rsid w:val="00D33B57"/>
    <w:rsid w:val="00D33F8F"/>
    <w:rsid w:val="00D34697"/>
    <w:rsid w:val="00D36309"/>
    <w:rsid w:val="00D45E61"/>
    <w:rsid w:val="00D471FD"/>
    <w:rsid w:val="00D541FF"/>
    <w:rsid w:val="00D66C46"/>
    <w:rsid w:val="00D7112F"/>
    <w:rsid w:val="00D81145"/>
    <w:rsid w:val="00D81A2E"/>
    <w:rsid w:val="00D86A01"/>
    <w:rsid w:val="00D9156A"/>
    <w:rsid w:val="00DA7B20"/>
    <w:rsid w:val="00DB7EE8"/>
    <w:rsid w:val="00DC0F44"/>
    <w:rsid w:val="00DC5617"/>
    <w:rsid w:val="00DD1F37"/>
    <w:rsid w:val="00DD6309"/>
    <w:rsid w:val="00DE1C98"/>
    <w:rsid w:val="00DF5F72"/>
    <w:rsid w:val="00DF6B19"/>
    <w:rsid w:val="00DF6E19"/>
    <w:rsid w:val="00E00C86"/>
    <w:rsid w:val="00E04344"/>
    <w:rsid w:val="00E07CE4"/>
    <w:rsid w:val="00E11AEC"/>
    <w:rsid w:val="00E17A38"/>
    <w:rsid w:val="00E221C4"/>
    <w:rsid w:val="00E2406D"/>
    <w:rsid w:val="00E25151"/>
    <w:rsid w:val="00E44DC3"/>
    <w:rsid w:val="00E6226A"/>
    <w:rsid w:val="00E70860"/>
    <w:rsid w:val="00E7230A"/>
    <w:rsid w:val="00E73C34"/>
    <w:rsid w:val="00E73D19"/>
    <w:rsid w:val="00EA321F"/>
    <w:rsid w:val="00EB5DF9"/>
    <w:rsid w:val="00EB6161"/>
    <w:rsid w:val="00EC10FD"/>
    <w:rsid w:val="00EC2988"/>
    <w:rsid w:val="00EC7C1F"/>
    <w:rsid w:val="00ED3E8B"/>
    <w:rsid w:val="00ED4D42"/>
    <w:rsid w:val="00EE27CC"/>
    <w:rsid w:val="00EE6DAF"/>
    <w:rsid w:val="00EF28F5"/>
    <w:rsid w:val="00EF5252"/>
    <w:rsid w:val="00F00113"/>
    <w:rsid w:val="00F05593"/>
    <w:rsid w:val="00F05FCD"/>
    <w:rsid w:val="00F15864"/>
    <w:rsid w:val="00F20193"/>
    <w:rsid w:val="00F253C6"/>
    <w:rsid w:val="00F31076"/>
    <w:rsid w:val="00F33922"/>
    <w:rsid w:val="00F51F12"/>
    <w:rsid w:val="00F6089F"/>
    <w:rsid w:val="00F73D06"/>
    <w:rsid w:val="00F92ADD"/>
    <w:rsid w:val="00FA2751"/>
    <w:rsid w:val="00FA53A4"/>
    <w:rsid w:val="00FA72C1"/>
    <w:rsid w:val="00FB5A3B"/>
    <w:rsid w:val="00FD4606"/>
    <w:rsid w:val="00FE511D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FFE6"/>
  <w15:chartTrackingRefBased/>
  <w15:docId w15:val="{8997035A-260B-4C8A-B5CF-51B27D2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tekst">
    <w:name w:val="gp-tekst"/>
    <w:basedOn w:val="Normal"/>
    <w:rsid w:val="002F6F6F"/>
    <w:pPr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2026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CA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7322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67322"/>
    <w:rPr>
      <w:lang w:eastAsia="en-US"/>
    </w:rPr>
  </w:style>
  <w:style w:type="character" w:styleId="FootnoteReference">
    <w:name w:val="footnote reference"/>
    <w:uiPriority w:val="99"/>
    <w:semiHidden/>
    <w:unhideWhenUsed/>
    <w:rsid w:val="005673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9F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0F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0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0F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0F44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134FC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F37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F37"/>
    <w:rPr>
      <w:b/>
      <w:bCs/>
      <w:lang w:val="nb-NO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23A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3EEB-87DB-4A18-8DBB-6EAC7425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CD2E1BC4.dotm</Template>
  <TotalTime>7</TotalTime>
  <Pages>10</Pages>
  <Words>2390</Words>
  <Characters>12671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merethea</dc:creator>
  <cp:keywords/>
  <cp:lastModifiedBy>Frode Løvik</cp:lastModifiedBy>
  <cp:revision>4</cp:revision>
  <cp:lastPrinted>2017-11-16T11:23:00Z</cp:lastPrinted>
  <dcterms:created xsi:type="dcterms:W3CDTF">2018-11-28T11:38:00Z</dcterms:created>
  <dcterms:modified xsi:type="dcterms:W3CDTF">2018-12-14T14:42:00Z</dcterms:modified>
</cp:coreProperties>
</file>